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4F428" w14:textId="77777777" w:rsidR="00C150AB" w:rsidRPr="00C250BE" w:rsidRDefault="00000000" w:rsidP="00C250BE">
      <w:pPr>
        <w:jc w:val="right"/>
        <w:rPr>
          <w:sz w:val="24"/>
          <w:szCs w:val="24"/>
        </w:rPr>
      </w:pPr>
      <w:r w:rsidRPr="00C250BE">
        <w:rPr>
          <w:sz w:val="24"/>
          <w:szCs w:val="24"/>
        </w:rPr>
        <w:t xml:space="preserve">260A </w:t>
      </w:r>
    </w:p>
    <w:p w14:paraId="0A67DC3E" w14:textId="02674FDE" w:rsidR="008C2177" w:rsidRPr="00C250BE" w:rsidRDefault="00000000" w:rsidP="00C250BE">
      <w:pPr>
        <w:spacing w:before="240" w:after="240" w:line="480" w:lineRule="auto"/>
        <w:jc w:val="center"/>
        <w:rPr>
          <w:sz w:val="24"/>
          <w:szCs w:val="24"/>
        </w:rPr>
      </w:pPr>
      <w:r w:rsidRPr="00C250BE">
        <w:rPr>
          <w:sz w:val="24"/>
          <w:szCs w:val="24"/>
        </w:rPr>
        <w:t>THE 2024 PHILIP C. JESSUP INTERNATIONAL LAW MOOT COURT COMPETITION</w:t>
      </w:r>
    </w:p>
    <w:p w14:paraId="4D78E55A" w14:textId="77777777" w:rsidR="008C2177" w:rsidRDefault="00000000" w:rsidP="00C250BE">
      <w:pPr>
        <w:pBdr>
          <w:top w:val="nil"/>
          <w:left w:val="nil"/>
          <w:bottom w:val="nil"/>
          <w:right w:val="nil"/>
          <w:between w:val="nil"/>
        </w:pBdr>
        <w:spacing w:before="240" w:after="240" w:line="480" w:lineRule="auto"/>
        <w:ind w:left="2509" w:right="2528"/>
        <w:jc w:val="center"/>
        <w:rPr>
          <w:color w:val="000000"/>
          <w:sz w:val="24"/>
          <w:szCs w:val="24"/>
        </w:rPr>
      </w:pPr>
      <w:r>
        <w:rPr>
          <w:color w:val="000000"/>
          <w:sz w:val="24"/>
          <w:szCs w:val="24"/>
        </w:rPr>
        <w:t>INTERNATIONAL COURT OF JUSTICE</w:t>
      </w:r>
    </w:p>
    <w:p w14:paraId="32039BB1" w14:textId="77777777" w:rsidR="008C2177" w:rsidRDefault="008C2177" w:rsidP="00C250BE">
      <w:pPr>
        <w:pBdr>
          <w:top w:val="nil"/>
          <w:left w:val="nil"/>
          <w:bottom w:val="nil"/>
          <w:right w:val="nil"/>
          <w:between w:val="nil"/>
        </w:pBdr>
        <w:spacing w:line="480" w:lineRule="auto"/>
        <w:rPr>
          <w:color w:val="000000"/>
          <w:sz w:val="24"/>
          <w:szCs w:val="24"/>
        </w:rPr>
      </w:pPr>
    </w:p>
    <w:p w14:paraId="4F78A1A7" w14:textId="77777777" w:rsidR="008C2177" w:rsidRDefault="00000000">
      <w:pPr>
        <w:pBdr>
          <w:top w:val="nil"/>
          <w:left w:val="nil"/>
          <w:bottom w:val="nil"/>
          <w:right w:val="nil"/>
          <w:between w:val="nil"/>
        </w:pBdr>
        <w:spacing w:before="3"/>
        <w:rPr>
          <w:color w:val="000000"/>
          <w:sz w:val="24"/>
          <w:szCs w:val="24"/>
        </w:rPr>
      </w:pPr>
      <w:r>
        <w:rPr>
          <w:noProof/>
        </w:rPr>
        <w:drawing>
          <wp:anchor distT="0" distB="0" distL="0" distR="0" simplePos="0" relativeHeight="251658240" behindDoc="0" locked="0" layoutInCell="1" hidden="0" allowOverlap="1" wp14:anchorId="3959443F" wp14:editId="309BF343">
            <wp:simplePos x="0" y="0"/>
            <wp:positionH relativeFrom="column">
              <wp:posOffset>1663319</wp:posOffset>
            </wp:positionH>
            <wp:positionV relativeFrom="paragraph">
              <wp:posOffset>100007</wp:posOffset>
            </wp:positionV>
            <wp:extent cx="2534363" cy="2524125"/>
            <wp:effectExtent l="0" t="0" r="0" b="0"/>
            <wp:wrapTopAndBottom distT="0" dist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534363" cy="2524125"/>
                    </a:xfrm>
                    <a:prstGeom prst="rect">
                      <a:avLst/>
                    </a:prstGeom>
                    <a:ln/>
                  </pic:spPr>
                </pic:pic>
              </a:graphicData>
            </a:graphic>
          </wp:anchor>
        </w:drawing>
      </w:r>
    </w:p>
    <w:p w14:paraId="61DE6107" w14:textId="77777777" w:rsidR="008C2177" w:rsidRDefault="008C2177">
      <w:pPr>
        <w:pBdr>
          <w:top w:val="nil"/>
          <w:left w:val="nil"/>
          <w:bottom w:val="nil"/>
          <w:right w:val="nil"/>
          <w:between w:val="nil"/>
        </w:pBdr>
        <w:rPr>
          <w:color w:val="000000"/>
          <w:sz w:val="24"/>
          <w:szCs w:val="24"/>
        </w:rPr>
      </w:pPr>
    </w:p>
    <w:p w14:paraId="2B3D2FD2" w14:textId="77777777" w:rsidR="008C2177" w:rsidRDefault="00000000">
      <w:pPr>
        <w:pBdr>
          <w:top w:val="nil"/>
          <w:left w:val="nil"/>
          <w:bottom w:val="nil"/>
          <w:right w:val="nil"/>
          <w:between w:val="nil"/>
        </w:pBdr>
        <w:spacing w:before="212"/>
        <w:ind w:left="2733" w:right="2753"/>
        <w:jc w:val="center"/>
        <w:rPr>
          <w:color w:val="000000"/>
          <w:sz w:val="24"/>
          <w:szCs w:val="24"/>
        </w:rPr>
      </w:pPr>
      <w:r>
        <w:rPr>
          <w:color w:val="000000"/>
          <w:sz w:val="24"/>
          <w:szCs w:val="24"/>
        </w:rPr>
        <w:t>At the Peace Palace</w:t>
      </w:r>
    </w:p>
    <w:p w14:paraId="656062CE" w14:textId="77777777" w:rsidR="008C2177" w:rsidRDefault="008C2177">
      <w:pPr>
        <w:pBdr>
          <w:top w:val="nil"/>
          <w:left w:val="nil"/>
          <w:bottom w:val="nil"/>
          <w:right w:val="nil"/>
          <w:between w:val="nil"/>
        </w:pBdr>
        <w:spacing w:before="8"/>
        <w:rPr>
          <w:color w:val="000000"/>
          <w:sz w:val="24"/>
          <w:szCs w:val="24"/>
        </w:rPr>
      </w:pPr>
    </w:p>
    <w:p w14:paraId="3DBB58AB" w14:textId="77777777" w:rsidR="008C2177" w:rsidRDefault="00000000">
      <w:pPr>
        <w:spacing w:before="1" w:after="3" w:line="616" w:lineRule="auto"/>
        <w:ind w:left="2551" w:right="2753"/>
        <w:jc w:val="center"/>
        <w:rPr>
          <w:sz w:val="24"/>
          <w:szCs w:val="24"/>
        </w:rPr>
      </w:pPr>
      <w:r>
        <w:rPr>
          <w:sz w:val="24"/>
          <w:szCs w:val="24"/>
        </w:rPr>
        <w:t xml:space="preserve">THE HAGUE, THE NETHERLANDS </w:t>
      </w:r>
    </w:p>
    <w:p w14:paraId="57457E2C" w14:textId="77777777" w:rsidR="008C2177" w:rsidRDefault="00000000">
      <w:pPr>
        <w:pBdr>
          <w:top w:val="nil"/>
          <w:left w:val="nil"/>
          <w:bottom w:val="nil"/>
          <w:right w:val="nil"/>
          <w:between w:val="nil"/>
        </w:pBdr>
        <w:spacing w:before="1" w:after="3" w:line="616" w:lineRule="auto"/>
        <w:ind w:left="2736" w:right="2753"/>
        <w:jc w:val="center"/>
        <w:rPr>
          <w:color w:val="000000"/>
          <w:sz w:val="24"/>
          <w:szCs w:val="24"/>
        </w:rPr>
      </w:pPr>
      <w:r>
        <w:rPr>
          <w:color w:val="000000"/>
          <w:sz w:val="24"/>
          <w:szCs w:val="24"/>
        </w:rPr>
        <w:t>2024</w:t>
      </w:r>
    </w:p>
    <w:p w14:paraId="200646F6" w14:textId="77777777" w:rsidR="008C2177" w:rsidRDefault="00000000">
      <w:pPr>
        <w:pBdr>
          <w:top w:val="nil"/>
          <w:left w:val="nil"/>
          <w:bottom w:val="nil"/>
          <w:right w:val="nil"/>
          <w:between w:val="nil"/>
        </w:pBdr>
        <w:spacing w:line="20" w:lineRule="auto"/>
        <w:ind w:left="100"/>
        <w:rPr>
          <w:color w:val="000000"/>
          <w:sz w:val="24"/>
          <w:szCs w:val="24"/>
        </w:rPr>
      </w:pPr>
      <w:r>
        <w:rPr>
          <w:noProof/>
          <w:color w:val="000000"/>
          <w:sz w:val="24"/>
          <w:szCs w:val="24"/>
        </w:rPr>
        <mc:AlternateContent>
          <mc:Choice Requires="wpg">
            <w:drawing>
              <wp:inline distT="0" distB="0" distL="0" distR="0" wp14:anchorId="69D02B07" wp14:editId="720F95A4">
                <wp:extent cx="5731510" cy="12700"/>
                <wp:effectExtent l="0" t="0" r="0" b="0"/>
                <wp:docPr id="2" name="Grupo 2"/>
                <wp:cNvGraphicFramePr/>
                <a:graphic xmlns:a="http://schemas.openxmlformats.org/drawingml/2006/main">
                  <a:graphicData uri="http://schemas.microsoft.com/office/word/2010/wordprocessingGroup">
                    <wpg:wgp>
                      <wpg:cNvGrpSpPr/>
                      <wpg:grpSpPr>
                        <a:xfrm>
                          <a:off x="0" y="0"/>
                          <a:ext cx="5731510" cy="12700"/>
                          <a:chOff x="2480225" y="3773650"/>
                          <a:chExt cx="5731550" cy="12700"/>
                        </a:xfrm>
                      </wpg:grpSpPr>
                      <wpg:grpSp>
                        <wpg:cNvPr id="1434323508" name="Grupo 1434323508"/>
                        <wpg:cNvGrpSpPr/>
                        <wpg:grpSpPr>
                          <a:xfrm>
                            <a:off x="2480245" y="3773650"/>
                            <a:ext cx="5731510" cy="12700"/>
                            <a:chOff x="2480225" y="3773650"/>
                            <a:chExt cx="5731550" cy="12700"/>
                          </a:xfrm>
                        </wpg:grpSpPr>
                        <wps:wsp>
                          <wps:cNvPr id="291398401" name="Rectángulo 291398401"/>
                          <wps:cNvSpPr/>
                          <wps:spPr>
                            <a:xfrm>
                              <a:off x="2480225" y="3773650"/>
                              <a:ext cx="5731550" cy="12700"/>
                            </a:xfrm>
                            <a:prstGeom prst="rect">
                              <a:avLst/>
                            </a:prstGeom>
                            <a:noFill/>
                            <a:ln>
                              <a:noFill/>
                            </a:ln>
                          </wps:spPr>
                          <wps:txbx>
                            <w:txbxContent>
                              <w:p w14:paraId="595112A6" w14:textId="77777777" w:rsidR="008C2177" w:rsidRDefault="008C2177">
                                <w:pPr>
                                  <w:textDirection w:val="btLr"/>
                                </w:pPr>
                              </w:p>
                            </w:txbxContent>
                          </wps:txbx>
                          <wps:bodyPr spcFirstLastPara="1" wrap="square" lIns="91425" tIns="91425" rIns="91425" bIns="91425" anchor="ctr" anchorCtr="0">
                            <a:noAutofit/>
                          </wps:bodyPr>
                        </wps:wsp>
                        <wpg:grpSp>
                          <wpg:cNvPr id="1939376637" name="Grupo 1939376637"/>
                          <wpg:cNvGrpSpPr/>
                          <wpg:grpSpPr>
                            <a:xfrm>
                              <a:off x="2480245" y="3773650"/>
                              <a:ext cx="5731510" cy="12700"/>
                              <a:chOff x="0" y="0"/>
                              <a:chExt cx="9026" cy="20"/>
                            </a:xfrm>
                          </wpg:grpSpPr>
                          <wps:wsp>
                            <wps:cNvPr id="1384271751" name="Rectángulo 1384271751"/>
                            <wps:cNvSpPr/>
                            <wps:spPr>
                              <a:xfrm>
                                <a:off x="0" y="0"/>
                                <a:ext cx="9025" cy="0"/>
                              </a:xfrm>
                              <a:prstGeom prst="rect">
                                <a:avLst/>
                              </a:prstGeom>
                              <a:noFill/>
                              <a:ln>
                                <a:noFill/>
                              </a:ln>
                            </wps:spPr>
                            <wps:txbx>
                              <w:txbxContent>
                                <w:p w14:paraId="7B14A872" w14:textId="77777777" w:rsidR="008C2177" w:rsidRDefault="008C2177">
                                  <w:pPr>
                                    <w:textDirection w:val="btLr"/>
                                  </w:pPr>
                                </w:p>
                              </w:txbxContent>
                            </wps:txbx>
                            <wps:bodyPr spcFirstLastPara="1" wrap="square" lIns="91425" tIns="91425" rIns="91425" bIns="91425" anchor="ctr" anchorCtr="0">
                              <a:noAutofit/>
                            </wps:bodyPr>
                          </wps:wsp>
                          <wps:wsp>
                            <wps:cNvPr id="1740360741" name="Rectángulo 1740360741"/>
                            <wps:cNvSpPr/>
                            <wps:spPr>
                              <a:xfrm>
                                <a:off x="0" y="0"/>
                                <a:ext cx="9026" cy="20"/>
                              </a:xfrm>
                              <a:prstGeom prst="rect">
                                <a:avLst/>
                              </a:prstGeom>
                              <a:solidFill>
                                <a:srgbClr val="000000"/>
                              </a:solidFill>
                              <a:ln>
                                <a:noFill/>
                              </a:ln>
                            </wps:spPr>
                            <wps:txbx>
                              <w:txbxContent>
                                <w:p w14:paraId="263C75E9" w14:textId="77777777" w:rsidR="008C2177" w:rsidRDefault="008C2177">
                                  <w:pPr>
                                    <w:textDirection w:val="btLr"/>
                                  </w:pPr>
                                </w:p>
                              </w:txbxContent>
                            </wps:txbx>
                            <wps:bodyPr spcFirstLastPara="1" wrap="square" lIns="91425" tIns="91425" rIns="91425" bIns="91425" anchor="ctr" anchorCtr="0">
                              <a:noAutofit/>
                            </wps:bodyPr>
                          </wps:wsp>
                        </wpg:grpSp>
                      </wpg:grpSp>
                    </wpg:wgp>
                  </a:graphicData>
                </a:graphic>
              </wp:inline>
            </w:drawing>
          </mc:Choice>
          <mc:Fallback>
            <w:pict>
              <v:group w14:anchorId="69D02B07" id="Grupo 2" o:spid="_x0000_s1026" style="width:451.3pt;height:1pt;mso-position-horizontal-relative:char;mso-position-vertical-relative:line" coordorigin="24802,37736" coordsize="5731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">
                <v:group id="Grupo 1434323508" o:spid="_x0000_s1027" style="position:absolute;left:24802;top:37736;width:57315;height:127" coordorigin="24802,37736" coordsize="5731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">
                  <v:rect id="Rectángulo 291398401" o:spid="_x0000_s1028" style="position:absolute;left:24802;top:37736;width:57315;height: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" filled="f" stroked="f">
                    <v:textbox inset="2.53958mm,2.53958mm,2.53958mm,2.53958mm">
                      <w:txbxContent>
                        <w:p w14:paraId="595112A6" w14:textId="77777777" w:rsidR="008C2177" w:rsidRDefault="008C2177">
                          <w:pPr>
                            <w:textDirection w:val="btLr"/>
                          </w:pPr>
                        </w:p>
                      </w:txbxContent>
                    </v:textbox>
                  </v:rect>
                  <v:group id="Grupo 1939376637" o:spid="_x0000_s1029" style="position:absolute;left:24802;top:37736;width:57315;height:127" coordsize="90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">
                    <v:rect id="Rectángulo 1384271751" o:spid="_x0000_s1030" style="position:absolute;width:90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" filled="f" stroked="f">
                      <v:textbox inset="2.53958mm,2.53958mm,2.53958mm,2.53958mm">
                        <w:txbxContent>
                          <w:p w14:paraId="7B14A872" w14:textId="77777777" w:rsidR="008C2177" w:rsidRDefault="008C2177">
                            <w:pPr>
                              <w:textDirection w:val="btLr"/>
                            </w:pPr>
                          </w:p>
                        </w:txbxContent>
                      </v:textbox>
                    </v:rect>
                    <v:rect id="Rectángulo 1740360741" o:spid="_x0000_s1031" style="position:absolute;width:9026;height: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" fillcolor="black" stroked="f">
                      <v:textbox inset="2.53958mm,2.53958mm,2.53958mm,2.53958mm">
                        <w:txbxContent>
                          <w:p w14:paraId="263C75E9" w14:textId="77777777" w:rsidR="008C2177" w:rsidRDefault="008C2177">
                            <w:pPr>
                              <w:textDirection w:val="btLr"/>
                            </w:pPr>
                          </w:p>
                        </w:txbxContent>
                      </v:textbox>
                    </v:rect>
                  </v:group>
                </v:group>
                <w10:anchorlock/>
              </v:group>
            </w:pict>
          </mc:Fallback>
        </mc:AlternateContent>
      </w:r>
    </w:p>
    <w:p w14:paraId="2BDD1134" w14:textId="77777777" w:rsidR="008C2177" w:rsidRDefault="008C2177">
      <w:pPr>
        <w:pBdr>
          <w:top w:val="nil"/>
          <w:left w:val="nil"/>
          <w:bottom w:val="nil"/>
          <w:right w:val="nil"/>
          <w:between w:val="nil"/>
        </w:pBdr>
        <w:spacing w:before="7"/>
        <w:jc w:val="center"/>
        <w:rPr>
          <w:color w:val="000000"/>
          <w:sz w:val="24"/>
          <w:szCs w:val="24"/>
        </w:rPr>
      </w:pPr>
    </w:p>
    <w:p w14:paraId="5AE9B674" w14:textId="77777777" w:rsidR="008C2177" w:rsidRDefault="00000000">
      <w:pPr>
        <w:pBdr>
          <w:top w:val="nil"/>
          <w:left w:val="nil"/>
          <w:bottom w:val="nil"/>
          <w:right w:val="nil"/>
          <w:between w:val="nil"/>
        </w:pBdr>
        <w:spacing w:before="7"/>
        <w:jc w:val="center"/>
        <w:rPr>
          <w:color w:val="000000"/>
          <w:sz w:val="24"/>
          <w:szCs w:val="24"/>
        </w:rPr>
      </w:pPr>
      <w:r>
        <w:rPr>
          <w:color w:val="000000"/>
          <w:sz w:val="24"/>
          <w:szCs w:val="24"/>
        </w:rPr>
        <w:t>THE CASE CONCERNING THE STERREN FORTY</w:t>
      </w:r>
    </w:p>
    <w:p w14:paraId="530973AE" w14:textId="77777777" w:rsidR="008C2177" w:rsidRDefault="008C2177">
      <w:pPr>
        <w:pBdr>
          <w:top w:val="nil"/>
          <w:left w:val="nil"/>
          <w:bottom w:val="nil"/>
          <w:right w:val="nil"/>
          <w:between w:val="nil"/>
        </w:pBdr>
        <w:rPr>
          <w:color w:val="000000"/>
          <w:sz w:val="24"/>
          <w:szCs w:val="24"/>
        </w:rPr>
      </w:pPr>
    </w:p>
    <w:p w14:paraId="2CA7B780" w14:textId="77777777" w:rsidR="008C2177" w:rsidRDefault="00000000">
      <w:pPr>
        <w:ind w:left="2730" w:right="2753"/>
        <w:jc w:val="center"/>
        <w:rPr>
          <w:i/>
          <w:sz w:val="24"/>
          <w:szCs w:val="24"/>
        </w:rPr>
      </w:pPr>
      <w:r>
        <w:rPr>
          <w:i/>
          <w:sz w:val="24"/>
          <w:szCs w:val="24"/>
        </w:rPr>
        <w:t>between</w:t>
      </w:r>
    </w:p>
    <w:p w14:paraId="39376272" w14:textId="77777777" w:rsidR="008C2177" w:rsidRDefault="008C2177">
      <w:pPr>
        <w:pBdr>
          <w:top w:val="nil"/>
          <w:left w:val="nil"/>
          <w:bottom w:val="nil"/>
          <w:right w:val="nil"/>
          <w:between w:val="nil"/>
        </w:pBdr>
        <w:spacing w:before="9"/>
        <w:rPr>
          <w:i/>
          <w:color w:val="000000"/>
          <w:sz w:val="24"/>
          <w:szCs w:val="24"/>
        </w:rPr>
      </w:pPr>
    </w:p>
    <w:p w14:paraId="1CC88B0E" w14:textId="77777777" w:rsidR="008C2177" w:rsidRDefault="00000000">
      <w:pPr>
        <w:pBdr>
          <w:top w:val="nil"/>
          <w:left w:val="nil"/>
          <w:bottom w:val="nil"/>
          <w:right w:val="nil"/>
          <w:between w:val="nil"/>
        </w:pBdr>
        <w:ind w:left="2031" w:right="2054"/>
        <w:jc w:val="center"/>
        <w:rPr>
          <w:color w:val="000000"/>
          <w:sz w:val="24"/>
          <w:szCs w:val="24"/>
        </w:rPr>
      </w:pPr>
      <w:r>
        <w:rPr>
          <w:color w:val="000000"/>
          <w:sz w:val="24"/>
          <w:szCs w:val="24"/>
        </w:rPr>
        <w:t>THE REPUBLIC OF ANTRANO (APPLICANT)</w:t>
      </w:r>
    </w:p>
    <w:p w14:paraId="548B512E" w14:textId="77777777" w:rsidR="008C2177" w:rsidRDefault="008C2177">
      <w:pPr>
        <w:pBdr>
          <w:top w:val="nil"/>
          <w:left w:val="nil"/>
          <w:bottom w:val="nil"/>
          <w:right w:val="nil"/>
          <w:between w:val="nil"/>
        </w:pBdr>
        <w:rPr>
          <w:color w:val="000000"/>
          <w:sz w:val="24"/>
          <w:szCs w:val="24"/>
        </w:rPr>
      </w:pPr>
    </w:p>
    <w:p w14:paraId="7FB63B48" w14:textId="77777777" w:rsidR="008C2177" w:rsidRDefault="00000000">
      <w:pPr>
        <w:ind w:left="2733" w:right="2753"/>
        <w:jc w:val="center"/>
        <w:rPr>
          <w:i/>
          <w:sz w:val="24"/>
          <w:szCs w:val="24"/>
        </w:rPr>
      </w:pPr>
      <w:r>
        <w:rPr>
          <w:i/>
          <w:sz w:val="24"/>
          <w:szCs w:val="24"/>
        </w:rPr>
        <w:t>and</w:t>
      </w:r>
    </w:p>
    <w:p w14:paraId="0D0D36BD" w14:textId="77777777" w:rsidR="008C2177" w:rsidRDefault="008C2177">
      <w:pPr>
        <w:pBdr>
          <w:top w:val="nil"/>
          <w:left w:val="nil"/>
          <w:bottom w:val="nil"/>
          <w:right w:val="nil"/>
          <w:between w:val="nil"/>
        </w:pBdr>
        <w:spacing w:before="9"/>
        <w:rPr>
          <w:i/>
          <w:color w:val="000000"/>
          <w:sz w:val="24"/>
          <w:szCs w:val="24"/>
        </w:rPr>
      </w:pPr>
    </w:p>
    <w:p w14:paraId="4EF9B49F" w14:textId="77777777" w:rsidR="008C2177" w:rsidRDefault="00000000">
      <w:pPr>
        <w:pBdr>
          <w:top w:val="nil"/>
          <w:left w:val="nil"/>
          <w:bottom w:val="nil"/>
          <w:right w:val="nil"/>
          <w:between w:val="nil"/>
        </w:pBdr>
        <w:ind w:left="2032" w:right="2053"/>
        <w:jc w:val="center"/>
        <w:rPr>
          <w:color w:val="000000"/>
          <w:sz w:val="24"/>
          <w:szCs w:val="24"/>
        </w:rPr>
      </w:pPr>
      <w:r>
        <w:rPr>
          <w:color w:val="000000"/>
          <w:sz w:val="24"/>
          <w:szCs w:val="24"/>
        </w:rPr>
        <w:t>THE KINGDOM OF REMISIA (RESPONDENT)</w:t>
      </w:r>
    </w:p>
    <w:p w14:paraId="5C9307EF" w14:textId="77777777" w:rsidR="008C2177" w:rsidRDefault="008C2177">
      <w:pPr>
        <w:pBdr>
          <w:top w:val="nil"/>
          <w:left w:val="nil"/>
          <w:bottom w:val="nil"/>
          <w:right w:val="nil"/>
          <w:between w:val="nil"/>
        </w:pBdr>
        <w:rPr>
          <w:color w:val="000000"/>
          <w:sz w:val="24"/>
          <w:szCs w:val="24"/>
        </w:rPr>
      </w:pPr>
    </w:p>
    <w:p w14:paraId="0FA4434E" w14:textId="77777777" w:rsidR="008C2177" w:rsidRDefault="00000000">
      <w:pPr>
        <w:pBdr>
          <w:top w:val="nil"/>
          <w:left w:val="nil"/>
          <w:bottom w:val="nil"/>
          <w:right w:val="nil"/>
          <w:between w:val="nil"/>
        </w:pBdr>
        <w:spacing w:before="10"/>
        <w:rPr>
          <w:color w:val="000000"/>
          <w:sz w:val="24"/>
          <w:szCs w:val="24"/>
        </w:rPr>
      </w:pPr>
      <w:r>
        <w:rPr>
          <w:noProof/>
        </w:rPr>
        <mc:AlternateContent>
          <mc:Choice Requires="wps">
            <w:drawing>
              <wp:anchor distT="0" distB="0" distL="0" distR="0" simplePos="0" relativeHeight="251659264" behindDoc="0" locked="0" layoutInCell="1" hidden="0" allowOverlap="1" wp14:anchorId="5AEC9635" wp14:editId="414B632B">
                <wp:simplePos x="0" y="0"/>
                <wp:positionH relativeFrom="column">
                  <wp:posOffset>38100</wp:posOffset>
                </wp:positionH>
                <wp:positionV relativeFrom="paragraph">
                  <wp:posOffset>139700</wp:posOffset>
                </wp:positionV>
                <wp:extent cx="5749925" cy="22225"/>
                <wp:effectExtent l="0" t="0" r="0" b="0"/>
                <wp:wrapTopAndBottom distT="0" distB="0"/>
                <wp:docPr id="1" name="Rectángulo 1"/>
                <wp:cNvGraphicFramePr/>
                <a:graphic xmlns:a="http://schemas.openxmlformats.org/drawingml/2006/main">
                  <a:graphicData uri="http://schemas.microsoft.com/office/word/2010/wordprocessingShape">
                    <wps:wsp>
                      <wps:cNvSpPr/>
                      <wps:spPr>
                        <a:xfrm>
                          <a:off x="2475800" y="3773968"/>
                          <a:ext cx="5740400" cy="12065"/>
                        </a:xfrm>
                        <a:prstGeom prst="rect">
                          <a:avLst/>
                        </a:prstGeom>
                        <a:solidFill>
                          <a:srgbClr val="000000"/>
                        </a:solidFill>
                        <a:ln>
                          <a:noFill/>
                        </a:ln>
                      </wps:spPr>
                      <wps:txbx>
                        <w:txbxContent>
                          <w:p w14:paraId="0270B9FF" w14:textId="77777777" w:rsidR="008C2177" w:rsidRDefault="008C2177">
                            <w:pPr>
                              <w:textDirection w:val="btLr"/>
                            </w:pPr>
                          </w:p>
                        </w:txbxContent>
                      </wps:txbx>
                      <wps:bodyPr spcFirstLastPara="1" wrap="square" lIns="91425" tIns="91425" rIns="91425" bIns="91425" anchor="ctr" anchorCtr="0">
                        <a:noAutofit/>
                      </wps:bodyPr>
                    </wps:wsp>
                  </a:graphicData>
                </a:graphic>
              </wp:anchor>
            </w:drawing>
          </mc:Choice>
          <mc:Fallback>
            <w:pict>
              <v:rect w14:anchorId="5AEC9635" id="Rectángulo 1" o:spid="_x0000_s1032" style="position:absolute;margin-left:3pt;margin-top:11pt;width:452.75pt;height:1.7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" fillcolor="black" stroked="f">
                <v:textbox inset="2.53958mm,2.53958mm,2.53958mm,2.53958mm">
                  <w:txbxContent>
                    <w:p w14:paraId="0270B9FF" w14:textId="77777777" w:rsidR="008C2177" w:rsidRDefault="008C2177">
                      <w:pPr>
                        <w:textDirection w:val="btLr"/>
                      </w:pPr>
                    </w:p>
                  </w:txbxContent>
                </v:textbox>
                <w10:wrap type="topAndBottom"/>
              </v:rect>
            </w:pict>
          </mc:Fallback>
        </mc:AlternateContent>
      </w:r>
    </w:p>
    <w:p w14:paraId="2BB6B4E5" w14:textId="77777777" w:rsidR="008C2177" w:rsidRDefault="008C2177">
      <w:pPr>
        <w:pBdr>
          <w:top w:val="nil"/>
          <w:left w:val="nil"/>
          <w:bottom w:val="nil"/>
          <w:right w:val="nil"/>
          <w:between w:val="nil"/>
        </w:pBdr>
        <w:spacing w:before="10"/>
        <w:rPr>
          <w:color w:val="000000"/>
          <w:sz w:val="24"/>
          <w:szCs w:val="24"/>
        </w:rPr>
      </w:pPr>
    </w:p>
    <w:p w14:paraId="48B72363" w14:textId="5E0F5EAA" w:rsidR="00CD482E" w:rsidRPr="00290DF4" w:rsidRDefault="00000000" w:rsidP="00290DF4">
      <w:pPr>
        <w:spacing w:line="480" w:lineRule="auto"/>
        <w:jc w:val="center"/>
        <w:rPr>
          <w:b/>
          <w:bCs/>
          <w:sz w:val="24"/>
          <w:szCs w:val="24"/>
        </w:rPr>
        <w:sectPr w:rsidR="00CD482E" w:rsidRPr="00290DF4" w:rsidSect="00191BE1">
          <w:footerReference w:type="default" r:id="rId10"/>
          <w:pgSz w:w="11910" w:h="16840"/>
          <w:pgMar w:top="1360" w:right="1320" w:bottom="1000" w:left="1340" w:header="0" w:footer="801" w:gutter="0"/>
          <w:cols w:space="720"/>
        </w:sectPr>
      </w:pPr>
      <w:r w:rsidRPr="00420BF9">
        <w:rPr>
          <w:b/>
          <w:bCs/>
          <w:sz w:val="24"/>
          <w:szCs w:val="24"/>
        </w:rPr>
        <w:t>MEMORIAL FOR APPLICANT</w:t>
      </w:r>
    </w:p>
    <w:sdt>
      <w:sdtPr>
        <w:rPr>
          <w:rFonts w:ascii="Times New Roman" w:eastAsia="Times New Roman" w:hAnsi="Times New Roman" w:cs="Times New Roman"/>
          <w:b/>
          <w:bCs/>
          <w:color w:val="auto"/>
          <w:sz w:val="24"/>
          <w:szCs w:val="24"/>
          <w:u w:val="single"/>
          <w:lang w:val="es-ES"/>
        </w:rPr>
        <w:id w:val="232128235"/>
        <w:docPartObj>
          <w:docPartGallery w:val="Table of Contents"/>
          <w:docPartUnique/>
        </w:docPartObj>
      </w:sdtPr>
      <w:sdtEndPr>
        <w:rPr>
          <w:sz w:val="22"/>
          <w:szCs w:val="22"/>
          <w:u w:val="none"/>
        </w:rPr>
      </w:sdtEndPr>
      <w:sdtContent>
        <w:p w14:paraId="436512A4" w14:textId="40FC3141" w:rsidR="00420BF9" w:rsidRPr="0038530D" w:rsidRDefault="00290DF4" w:rsidP="00D24E30">
          <w:pPr>
            <w:pStyle w:val="TtuloTDC"/>
            <w:spacing w:after="240" w:line="360" w:lineRule="auto"/>
            <w:jc w:val="center"/>
            <w:rPr>
              <w:rFonts w:ascii="Times New Roman" w:hAnsi="Times New Roman" w:cs="Times New Roman"/>
              <w:b/>
              <w:bCs/>
              <w:color w:val="auto"/>
              <w:sz w:val="24"/>
              <w:szCs w:val="24"/>
              <w:u w:val="single"/>
              <w:lang w:val="en-US"/>
            </w:rPr>
          </w:pPr>
          <w:r w:rsidRPr="0038530D">
            <w:rPr>
              <w:rFonts w:ascii="Times New Roman" w:hAnsi="Times New Roman" w:cs="Times New Roman"/>
              <w:b/>
              <w:bCs/>
              <w:color w:val="auto"/>
              <w:sz w:val="24"/>
              <w:szCs w:val="24"/>
              <w:u w:val="single"/>
              <w:lang w:val="en-US"/>
            </w:rPr>
            <w:t>TABLE OF CONTENTS</w:t>
          </w:r>
        </w:p>
        <w:p w14:paraId="3FFF3706" w14:textId="215A49E1" w:rsidR="00492531" w:rsidRDefault="00DA5516">
          <w:pPr>
            <w:pStyle w:val="TDC1"/>
            <w:rPr>
              <w:rFonts w:asciiTheme="minorHAnsi" w:eastAsiaTheme="minorEastAsia" w:hAnsiTheme="minorHAnsi" w:cstheme="minorBidi"/>
              <w:b w:val="0"/>
              <w:kern w:val="2"/>
              <w:sz w:val="22"/>
              <w:szCs w:val="22"/>
              <w:lang w:val="es-CO"/>
              <w14:ligatures w14:val="standardContextual"/>
            </w:rPr>
          </w:pPr>
          <w:r>
            <w:fldChar w:fldCharType="begin"/>
          </w:r>
          <w:r>
            <w:instrText xml:space="preserve"> TOC \o "1-7" \h \z \u </w:instrText>
          </w:r>
          <w:r>
            <w:fldChar w:fldCharType="separate"/>
          </w:r>
          <w:hyperlink w:anchor="_Toc155961544" w:history="1">
            <w:r w:rsidR="00492531" w:rsidRPr="00D15940">
              <w:rPr>
                <w:rStyle w:val="Hipervnculo"/>
              </w:rPr>
              <w:t>INDEX OF AUTHORITIES</w:t>
            </w:r>
            <w:r w:rsidR="00492531">
              <w:rPr>
                <w:webHidden/>
              </w:rPr>
              <w:tab/>
            </w:r>
            <w:r w:rsidR="00492531">
              <w:rPr>
                <w:webHidden/>
              </w:rPr>
              <w:fldChar w:fldCharType="begin"/>
            </w:r>
            <w:r w:rsidR="00492531">
              <w:rPr>
                <w:webHidden/>
              </w:rPr>
              <w:instrText xml:space="preserve"> PAGEREF _Toc155961544 \h </w:instrText>
            </w:r>
            <w:r w:rsidR="00492531">
              <w:rPr>
                <w:webHidden/>
              </w:rPr>
            </w:r>
            <w:r w:rsidR="00492531">
              <w:rPr>
                <w:webHidden/>
              </w:rPr>
              <w:fldChar w:fldCharType="separate"/>
            </w:r>
            <w:r w:rsidR="00492531">
              <w:rPr>
                <w:webHidden/>
              </w:rPr>
              <w:t>IV</w:t>
            </w:r>
            <w:r w:rsidR="00492531">
              <w:rPr>
                <w:webHidden/>
              </w:rPr>
              <w:fldChar w:fldCharType="end"/>
            </w:r>
          </w:hyperlink>
        </w:p>
        <w:p w14:paraId="3CEECAC1" w14:textId="3E20EA8A" w:rsidR="00492531" w:rsidRDefault="00492531">
          <w:pPr>
            <w:pStyle w:val="TDC1"/>
            <w:rPr>
              <w:rFonts w:asciiTheme="minorHAnsi" w:eastAsiaTheme="minorEastAsia" w:hAnsiTheme="minorHAnsi" w:cstheme="minorBidi"/>
              <w:b w:val="0"/>
              <w:kern w:val="2"/>
              <w:sz w:val="22"/>
              <w:szCs w:val="22"/>
              <w:lang w:val="es-CO"/>
              <w14:ligatures w14:val="standardContextual"/>
            </w:rPr>
          </w:pPr>
          <w:hyperlink w:anchor="_Toc155961545" w:history="1">
            <w:r w:rsidRPr="00D15940">
              <w:rPr>
                <w:rStyle w:val="Hipervnculo"/>
              </w:rPr>
              <w:t>STATEMENT OF JURISDICTION</w:t>
            </w:r>
            <w:r>
              <w:rPr>
                <w:webHidden/>
              </w:rPr>
              <w:tab/>
            </w:r>
            <w:r>
              <w:rPr>
                <w:webHidden/>
              </w:rPr>
              <w:fldChar w:fldCharType="begin"/>
            </w:r>
            <w:r>
              <w:rPr>
                <w:webHidden/>
              </w:rPr>
              <w:instrText xml:space="preserve"> PAGEREF _Toc155961545 \h </w:instrText>
            </w:r>
            <w:r>
              <w:rPr>
                <w:webHidden/>
              </w:rPr>
            </w:r>
            <w:r>
              <w:rPr>
                <w:webHidden/>
              </w:rPr>
              <w:fldChar w:fldCharType="separate"/>
            </w:r>
            <w:r>
              <w:rPr>
                <w:webHidden/>
              </w:rPr>
              <w:t>XIV</w:t>
            </w:r>
            <w:r>
              <w:rPr>
                <w:webHidden/>
              </w:rPr>
              <w:fldChar w:fldCharType="end"/>
            </w:r>
          </w:hyperlink>
        </w:p>
        <w:p w14:paraId="2FE52555" w14:textId="740006AC" w:rsidR="00492531" w:rsidRDefault="00492531">
          <w:pPr>
            <w:pStyle w:val="TDC1"/>
            <w:rPr>
              <w:rFonts w:asciiTheme="minorHAnsi" w:eastAsiaTheme="minorEastAsia" w:hAnsiTheme="minorHAnsi" w:cstheme="minorBidi"/>
              <w:b w:val="0"/>
              <w:kern w:val="2"/>
              <w:sz w:val="22"/>
              <w:szCs w:val="22"/>
              <w:lang w:val="es-CO"/>
              <w14:ligatures w14:val="standardContextual"/>
            </w:rPr>
          </w:pPr>
          <w:hyperlink w:anchor="_Toc155961546" w:history="1">
            <w:r w:rsidRPr="00D15940">
              <w:rPr>
                <w:rStyle w:val="Hipervnculo"/>
              </w:rPr>
              <w:t>QUESTIONS PRESENTED</w:t>
            </w:r>
            <w:r>
              <w:rPr>
                <w:webHidden/>
              </w:rPr>
              <w:tab/>
            </w:r>
            <w:r>
              <w:rPr>
                <w:webHidden/>
              </w:rPr>
              <w:fldChar w:fldCharType="begin"/>
            </w:r>
            <w:r>
              <w:rPr>
                <w:webHidden/>
              </w:rPr>
              <w:instrText xml:space="preserve"> PAGEREF _Toc155961546 \h </w:instrText>
            </w:r>
            <w:r>
              <w:rPr>
                <w:webHidden/>
              </w:rPr>
            </w:r>
            <w:r>
              <w:rPr>
                <w:webHidden/>
              </w:rPr>
              <w:fldChar w:fldCharType="separate"/>
            </w:r>
            <w:r>
              <w:rPr>
                <w:webHidden/>
              </w:rPr>
              <w:t>XV</w:t>
            </w:r>
            <w:r>
              <w:rPr>
                <w:webHidden/>
              </w:rPr>
              <w:fldChar w:fldCharType="end"/>
            </w:r>
          </w:hyperlink>
        </w:p>
        <w:p w14:paraId="04D5F1D8" w14:textId="3075EF5C" w:rsidR="00492531" w:rsidRDefault="00492531">
          <w:pPr>
            <w:pStyle w:val="TDC1"/>
            <w:rPr>
              <w:rFonts w:asciiTheme="minorHAnsi" w:eastAsiaTheme="minorEastAsia" w:hAnsiTheme="minorHAnsi" w:cstheme="minorBidi"/>
              <w:b w:val="0"/>
              <w:kern w:val="2"/>
              <w:sz w:val="22"/>
              <w:szCs w:val="22"/>
              <w:lang w:val="es-CO"/>
              <w14:ligatures w14:val="standardContextual"/>
            </w:rPr>
          </w:pPr>
          <w:hyperlink w:anchor="_Toc155961547" w:history="1">
            <w:r w:rsidRPr="00D15940">
              <w:rPr>
                <w:rStyle w:val="Hipervnculo"/>
              </w:rPr>
              <w:t>STATEMENT OF FACTS</w:t>
            </w:r>
            <w:r>
              <w:rPr>
                <w:webHidden/>
              </w:rPr>
              <w:tab/>
            </w:r>
            <w:r>
              <w:rPr>
                <w:webHidden/>
              </w:rPr>
              <w:fldChar w:fldCharType="begin"/>
            </w:r>
            <w:r>
              <w:rPr>
                <w:webHidden/>
              </w:rPr>
              <w:instrText xml:space="preserve"> PAGEREF _Toc155961547 \h </w:instrText>
            </w:r>
            <w:r>
              <w:rPr>
                <w:webHidden/>
              </w:rPr>
            </w:r>
            <w:r>
              <w:rPr>
                <w:webHidden/>
              </w:rPr>
              <w:fldChar w:fldCharType="separate"/>
            </w:r>
            <w:r>
              <w:rPr>
                <w:webHidden/>
              </w:rPr>
              <w:t>XVI</w:t>
            </w:r>
            <w:r>
              <w:rPr>
                <w:webHidden/>
              </w:rPr>
              <w:fldChar w:fldCharType="end"/>
            </w:r>
          </w:hyperlink>
        </w:p>
        <w:p w14:paraId="1EAB9548" w14:textId="2B709FA3" w:rsidR="00492531" w:rsidRDefault="00492531">
          <w:pPr>
            <w:pStyle w:val="TDC1"/>
            <w:rPr>
              <w:rFonts w:asciiTheme="minorHAnsi" w:eastAsiaTheme="minorEastAsia" w:hAnsiTheme="minorHAnsi" w:cstheme="minorBidi"/>
              <w:b w:val="0"/>
              <w:kern w:val="2"/>
              <w:sz w:val="22"/>
              <w:szCs w:val="22"/>
              <w:lang w:val="es-CO"/>
              <w14:ligatures w14:val="standardContextual"/>
            </w:rPr>
          </w:pPr>
          <w:hyperlink w:anchor="_Toc155961548" w:history="1">
            <w:r w:rsidRPr="00D15940">
              <w:rPr>
                <w:rStyle w:val="Hipervnculo"/>
              </w:rPr>
              <w:t>SUMMARY OF PLEADINGS</w:t>
            </w:r>
            <w:r>
              <w:rPr>
                <w:webHidden/>
              </w:rPr>
              <w:tab/>
            </w:r>
            <w:r>
              <w:rPr>
                <w:webHidden/>
              </w:rPr>
              <w:fldChar w:fldCharType="begin"/>
            </w:r>
            <w:r>
              <w:rPr>
                <w:webHidden/>
              </w:rPr>
              <w:instrText xml:space="preserve"> PAGEREF _Toc155961548 \h </w:instrText>
            </w:r>
            <w:r>
              <w:rPr>
                <w:webHidden/>
              </w:rPr>
            </w:r>
            <w:r>
              <w:rPr>
                <w:webHidden/>
              </w:rPr>
              <w:fldChar w:fldCharType="separate"/>
            </w:r>
            <w:r>
              <w:rPr>
                <w:webHidden/>
              </w:rPr>
              <w:t>XXI</w:t>
            </w:r>
            <w:r>
              <w:rPr>
                <w:webHidden/>
              </w:rPr>
              <w:fldChar w:fldCharType="end"/>
            </w:r>
          </w:hyperlink>
        </w:p>
        <w:p w14:paraId="378AAC45" w14:textId="128B709A" w:rsidR="00492531" w:rsidRDefault="00492531">
          <w:pPr>
            <w:pStyle w:val="TDC1"/>
            <w:rPr>
              <w:rFonts w:asciiTheme="minorHAnsi" w:eastAsiaTheme="minorEastAsia" w:hAnsiTheme="minorHAnsi" w:cstheme="minorBidi"/>
              <w:b w:val="0"/>
              <w:kern w:val="2"/>
              <w:sz w:val="22"/>
              <w:szCs w:val="22"/>
              <w:lang w:val="es-CO"/>
              <w14:ligatures w14:val="standardContextual"/>
            </w:rPr>
          </w:pPr>
          <w:hyperlink w:anchor="_Toc155961549" w:history="1">
            <w:r w:rsidRPr="00D15940">
              <w:rPr>
                <w:rStyle w:val="Hipervnculo"/>
                <w:highlight w:val="white"/>
              </w:rPr>
              <w:t>PLEADINGS</w:t>
            </w:r>
            <w:r>
              <w:rPr>
                <w:webHidden/>
              </w:rPr>
              <w:tab/>
            </w:r>
            <w:r>
              <w:rPr>
                <w:webHidden/>
              </w:rPr>
              <w:fldChar w:fldCharType="begin"/>
            </w:r>
            <w:r>
              <w:rPr>
                <w:webHidden/>
              </w:rPr>
              <w:instrText xml:space="preserve"> PAGEREF _Toc155961549 \h </w:instrText>
            </w:r>
            <w:r>
              <w:rPr>
                <w:webHidden/>
              </w:rPr>
            </w:r>
            <w:r>
              <w:rPr>
                <w:webHidden/>
              </w:rPr>
              <w:fldChar w:fldCharType="separate"/>
            </w:r>
            <w:r>
              <w:rPr>
                <w:webHidden/>
              </w:rPr>
              <w:t>1</w:t>
            </w:r>
            <w:r>
              <w:rPr>
                <w:webHidden/>
              </w:rPr>
              <w:fldChar w:fldCharType="end"/>
            </w:r>
          </w:hyperlink>
        </w:p>
        <w:p w14:paraId="5DFFA6FC" w14:textId="00C4034F" w:rsidR="00492531" w:rsidRDefault="00492531">
          <w:pPr>
            <w:pStyle w:val="TDC2"/>
            <w:tabs>
              <w:tab w:val="right" w:leader="dot" w:pos="9240"/>
            </w:tabs>
            <w:rPr>
              <w:rFonts w:asciiTheme="minorHAnsi" w:eastAsiaTheme="minorEastAsia" w:hAnsiTheme="minorHAnsi" w:cstheme="minorBidi"/>
              <w:b w:val="0"/>
              <w:noProof/>
              <w:kern w:val="2"/>
              <w:sz w:val="22"/>
              <w:lang w:val="es-CO"/>
              <w14:ligatures w14:val="standardContextual"/>
            </w:rPr>
          </w:pPr>
          <w:hyperlink w:anchor="_Toc155961550" w:history="1">
            <w:r w:rsidRPr="00D15940">
              <w:rPr>
                <w:rStyle w:val="Hipervnculo"/>
                <w:noProof/>
                <w:highlight w:val="white"/>
              </w:rPr>
              <w:t>I. ANTRANO HAS STANDING TO BRING THE DISPUTE CONCERNING REMISIA’S DEPRIVATION OF NATIONALITY OF ITS CITIZENS BEFORE THE COURT</w:t>
            </w:r>
            <w:r>
              <w:rPr>
                <w:noProof/>
                <w:webHidden/>
              </w:rPr>
              <w:tab/>
            </w:r>
            <w:r>
              <w:rPr>
                <w:noProof/>
                <w:webHidden/>
              </w:rPr>
              <w:fldChar w:fldCharType="begin"/>
            </w:r>
            <w:r>
              <w:rPr>
                <w:noProof/>
                <w:webHidden/>
              </w:rPr>
              <w:instrText xml:space="preserve"> PAGEREF _Toc155961550 \h </w:instrText>
            </w:r>
            <w:r>
              <w:rPr>
                <w:noProof/>
                <w:webHidden/>
              </w:rPr>
            </w:r>
            <w:r>
              <w:rPr>
                <w:noProof/>
                <w:webHidden/>
              </w:rPr>
              <w:fldChar w:fldCharType="separate"/>
            </w:r>
            <w:r>
              <w:rPr>
                <w:noProof/>
                <w:webHidden/>
              </w:rPr>
              <w:t>1</w:t>
            </w:r>
            <w:r>
              <w:rPr>
                <w:noProof/>
                <w:webHidden/>
              </w:rPr>
              <w:fldChar w:fldCharType="end"/>
            </w:r>
          </w:hyperlink>
        </w:p>
        <w:p w14:paraId="33B5FC2C" w14:textId="22A181E6" w:rsidR="00492531" w:rsidRDefault="00492531">
          <w:pPr>
            <w:pStyle w:val="TDC3"/>
            <w:tabs>
              <w:tab w:val="left" w:pos="1100"/>
              <w:tab w:val="right" w:leader="dot" w:pos="9240"/>
            </w:tabs>
            <w:rPr>
              <w:rFonts w:asciiTheme="minorHAnsi" w:eastAsiaTheme="minorEastAsia" w:hAnsiTheme="minorHAnsi" w:cstheme="minorBidi"/>
              <w:b w:val="0"/>
              <w:noProof/>
              <w:kern w:val="2"/>
              <w:sz w:val="22"/>
              <w:lang w:val="es-CO"/>
              <w14:ligatures w14:val="standardContextual"/>
            </w:rPr>
          </w:pPr>
          <w:hyperlink w:anchor="_Toc155961551" w:history="1">
            <w:r w:rsidRPr="00D15940">
              <w:rPr>
                <w:rStyle w:val="Hipervnculo"/>
                <w:noProof/>
              </w:rPr>
              <w:t>A.</w:t>
            </w:r>
            <w:r>
              <w:rPr>
                <w:rFonts w:asciiTheme="minorHAnsi" w:eastAsiaTheme="minorEastAsia" w:hAnsiTheme="minorHAnsi" w:cstheme="minorBidi"/>
                <w:b w:val="0"/>
                <w:noProof/>
                <w:kern w:val="2"/>
                <w:sz w:val="22"/>
                <w:lang w:val="es-CO"/>
                <w14:ligatures w14:val="standardContextual"/>
              </w:rPr>
              <w:tab/>
            </w:r>
            <w:r w:rsidRPr="00D15940">
              <w:rPr>
                <w:rStyle w:val="Hipervnculo"/>
                <w:noProof/>
              </w:rPr>
              <w:t xml:space="preserve">Antrano has standing based on </w:t>
            </w:r>
            <w:r w:rsidRPr="00D15940">
              <w:rPr>
                <w:rStyle w:val="Hipervnculo"/>
                <w:i/>
                <w:noProof/>
              </w:rPr>
              <w:t>Erga Omnes Partes</w:t>
            </w:r>
            <w:r w:rsidRPr="00D15940">
              <w:rPr>
                <w:rStyle w:val="Hipervnculo"/>
                <w:noProof/>
              </w:rPr>
              <w:t xml:space="preserve"> obligations violated by Remisia</w:t>
            </w:r>
            <w:r>
              <w:rPr>
                <w:noProof/>
                <w:webHidden/>
              </w:rPr>
              <w:tab/>
            </w:r>
            <w:r>
              <w:rPr>
                <w:noProof/>
                <w:webHidden/>
              </w:rPr>
              <w:fldChar w:fldCharType="begin"/>
            </w:r>
            <w:r>
              <w:rPr>
                <w:noProof/>
                <w:webHidden/>
              </w:rPr>
              <w:instrText xml:space="preserve"> PAGEREF _Toc155961551 \h </w:instrText>
            </w:r>
            <w:r>
              <w:rPr>
                <w:noProof/>
                <w:webHidden/>
              </w:rPr>
            </w:r>
            <w:r>
              <w:rPr>
                <w:noProof/>
                <w:webHidden/>
              </w:rPr>
              <w:fldChar w:fldCharType="separate"/>
            </w:r>
            <w:r>
              <w:rPr>
                <w:noProof/>
                <w:webHidden/>
              </w:rPr>
              <w:t>1</w:t>
            </w:r>
            <w:r>
              <w:rPr>
                <w:noProof/>
                <w:webHidden/>
              </w:rPr>
              <w:fldChar w:fldCharType="end"/>
            </w:r>
          </w:hyperlink>
        </w:p>
        <w:p w14:paraId="6797E9AA" w14:textId="5454CFDF" w:rsidR="00492531" w:rsidRDefault="00492531">
          <w:pPr>
            <w:pStyle w:val="TDC4"/>
            <w:tabs>
              <w:tab w:val="left" w:pos="1100"/>
              <w:tab w:val="right" w:leader="dot" w:pos="9240"/>
            </w:tabs>
            <w:rPr>
              <w:rFonts w:asciiTheme="minorHAnsi" w:eastAsiaTheme="minorEastAsia" w:hAnsiTheme="minorHAnsi" w:cstheme="minorBidi"/>
              <w:noProof/>
              <w:kern w:val="2"/>
              <w:sz w:val="22"/>
              <w:lang w:val="es-CO"/>
              <w14:ligatures w14:val="standardContextual"/>
            </w:rPr>
          </w:pPr>
          <w:hyperlink w:anchor="_Toc155961552" w:history="1">
            <w:r w:rsidRPr="00D15940">
              <w:rPr>
                <w:rStyle w:val="Hipervnculo"/>
                <w:bCs/>
                <w:noProof/>
              </w:rPr>
              <w:t>1.</w:t>
            </w:r>
            <w:r>
              <w:rPr>
                <w:rFonts w:asciiTheme="minorHAnsi" w:eastAsiaTheme="minorEastAsia" w:hAnsiTheme="minorHAnsi" w:cstheme="minorBidi"/>
                <w:noProof/>
                <w:kern w:val="2"/>
                <w:sz w:val="22"/>
                <w:lang w:val="es-CO"/>
                <w14:ligatures w14:val="standardContextual"/>
              </w:rPr>
              <w:tab/>
            </w:r>
            <w:r w:rsidRPr="00D15940">
              <w:rPr>
                <w:rStyle w:val="Hipervnculo"/>
                <w:bCs/>
                <w:noProof/>
              </w:rPr>
              <w:t xml:space="preserve">Antrano has </w:t>
            </w:r>
            <w:r w:rsidRPr="00D15940">
              <w:rPr>
                <w:rStyle w:val="Hipervnculo"/>
                <w:bCs/>
                <w:noProof/>
                <w:highlight w:val="white"/>
              </w:rPr>
              <w:t xml:space="preserve">standing </w:t>
            </w:r>
            <w:r w:rsidRPr="00D15940">
              <w:rPr>
                <w:rStyle w:val="Hipervnculo"/>
                <w:bCs/>
                <w:noProof/>
              </w:rPr>
              <w:t>under the CRS</w:t>
            </w:r>
            <w:r>
              <w:rPr>
                <w:noProof/>
                <w:webHidden/>
              </w:rPr>
              <w:tab/>
            </w:r>
            <w:r>
              <w:rPr>
                <w:noProof/>
                <w:webHidden/>
              </w:rPr>
              <w:fldChar w:fldCharType="begin"/>
            </w:r>
            <w:r>
              <w:rPr>
                <w:noProof/>
                <w:webHidden/>
              </w:rPr>
              <w:instrText xml:space="preserve"> PAGEREF _Toc155961552 \h </w:instrText>
            </w:r>
            <w:r>
              <w:rPr>
                <w:noProof/>
                <w:webHidden/>
              </w:rPr>
            </w:r>
            <w:r>
              <w:rPr>
                <w:noProof/>
                <w:webHidden/>
              </w:rPr>
              <w:fldChar w:fldCharType="separate"/>
            </w:r>
            <w:r>
              <w:rPr>
                <w:noProof/>
                <w:webHidden/>
              </w:rPr>
              <w:t>2</w:t>
            </w:r>
            <w:r>
              <w:rPr>
                <w:noProof/>
                <w:webHidden/>
              </w:rPr>
              <w:fldChar w:fldCharType="end"/>
            </w:r>
          </w:hyperlink>
        </w:p>
        <w:p w14:paraId="49EC1C1D" w14:textId="02DD6383" w:rsidR="00492531" w:rsidRDefault="00492531">
          <w:pPr>
            <w:pStyle w:val="TDC5"/>
            <w:rPr>
              <w:rFonts w:asciiTheme="minorHAnsi" w:eastAsiaTheme="minorEastAsia" w:hAnsiTheme="minorHAnsi" w:cstheme="minorBidi"/>
              <w:i w:val="0"/>
              <w:noProof/>
              <w:kern w:val="2"/>
              <w:sz w:val="22"/>
              <w:lang w:val="es-CO"/>
              <w14:ligatures w14:val="standardContextual"/>
            </w:rPr>
          </w:pPr>
          <w:hyperlink w:anchor="_Toc155961553" w:history="1">
            <w:r w:rsidRPr="00D15940">
              <w:rPr>
                <w:rStyle w:val="Hipervnculo"/>
                <w:bCs/>
                <w:iCs/>
                <w:noProof/>
              </w:rPr>
              <w:t>a.</w:t>
            </w:r>
            <w:r>
              <w:rPr>
                <w:rFonts w:asciiTheme="minorHAnsi" w:eastAsiaTheme="minorEastAsia" w:hAnsiTheme="minorHAnsi" w:cstheme="minorBidi"/>
                <w:i w:val="0"/>
                <w:noProof/>
                <w:kern w:val="2"/>
                <w:sz w:val="22"/>
                <w:lang w:val="es-CO"/>
                <w14:ligatures w14:val="standardContextual"/>
              </w:rPr>
              <w:tab/>
            </w:r>
            <w:r w:rsidRPr="00D15940">
              <w:rPr>
                <w:rStyle w:val="Hipervnculo"/>
                <w:bCs/>
                <w:iCs/>
                <w:noProof/>
              </w:rPr>
              <w:t>Antrano’s standing stems from the Erga Omnes Partes character of the obligations violated by Remisia under the CRS</w:t>
            </w:r>
            <w:r>
              <w:rPr>
                <w:noProof/>
                <w:webHidden/>
              </w:rPr>
              <w:tab/>
            </w:r>
            <w:r>
              <w:rPr>
                <w:noProof/>
                <w:webHidden/>
              </w:rPr>
              <w:fldChar w:fldCharType="begin"/>
            </w:r>
            <w:r>
              <w:rPr>
                <w:noProof/>
                <w:webHidden/>
              </w:rPr>
              <w:instrText xml:space="preserve"> PAGEREF _Toc155961553 \h </w:instrText>
            </w:r>
            <w:r>
              <w:rPr>
                <w:noProof/>
                <w:webHidden/>
              </w:rPr>
            </w:r>
            <w:r>
              <w:rPr>
                <w:noProof/>
                <w:webHidden/>
              </w:rPr>
              <w:fldChar w:fldCharType="separate"/>
            </w:r>
            <w:r>
              <w:rPr>
                <w:noProof/>
                <w:webHidden/>
              </w:rPr>
              <w:t>2</w:t>
            </w:r>
            <w:r>
              <w:rPr>
                <w:noProof/>
                <w:webHidden/>
              </w:rPr>
              <w:fldChar w:fldCharType="end"/>
            </w:r>
          </w:hyperlink>
        </w:p>
        <w:p w14:paraId="01FF59F5" w14:textId="4CFDC183" w:rsidR="00492531" w:rsidRDefault="00492531">
          <w:pPr>
            <w:pStyle w:val="TDC5"/>
            <w:rPr>
              <w:rFonts w:asciiTheme="minorHAnsi" w:eastAsiaTheme="minorEastAsia" w:hAnsiTheme="minorHAnsi" w:cstheme="minorBidi"/>
              <w:i w:val="0"/>
              <w:noProof/>
              <w:kern w:val="2"/>
              <w:sz w:val="22"/>
              <w:lang w:val="es-CO"/>
              <w14:ligatures w14:val="standardContextual"/>
            </w:rPr>
          </w:pPr>
          <w:hyperlink w:anchor="_Toc155961554" w:history="1">
            <w:r w:rsidRPr="00D15940">
              <w:rPr>
                <w:rStyle w:val="Hipervnculo"/>
                <w:bCs/>
                <w:iCs/>
                <w:noProof/>
              </w:rPr>
              <w:t>b.</w:t>
            </w:r>
            <w:r>
              <w:rPr>
                <w:rFonts w:asciiTheme="minorHAnsi" w:eastAsiaTheme="minorEastAsia" w:hAnsiTheme="minorHAnsi" w:cstheme="minorBidi"/>
                <w:i w:val="0"/>
                <w:noProof/>
                <w:kern w:val="2"/>
                <w:sz w:val="22"/>
                <w:lang w:val="es-CO"/>
                <w14:ligatures w14:val="standardContextual"/>
              </w:rPr>
              <w:tab/>
            </w:r>
            <w:r w:rsidRPr="00D15940">
              <w:rPr>
                <w:rStyle w:val="Hipervnculo"/>
                <w:bCs/>
                <w:iCs/>
                <w:noProof/>
              </w:rPr>
              <w:t>Antrano can submit its dispute with Remisia under Article 14 of the CRS</w:t>
            </w:r>
            <w:r>
              <w:rPr>
                <w:noProof/>
                <w:webHidden/>
              </w:rPr>
              <w:tab/>
            </w:r>
            <w:r>
              <w:rPr>
                <w:noProof/>
                <w:webHidden/>
              </w:rPr>
              <w:fldChar w:fldCharType="begin"/>
            </w:r>
            <w:r>
              <w:rPr>
                <w:noProof/>
                <w:webHidden/>
              </w:rPr>
              <w:instrText xml:space="preserve"> PAGEREF _Toc155961554 \h </w:instrText>
            </w:r>
            <w:r>
              <w:rPr>
                <w:noProof/>
                <w:webHidden/>
              </w:rPr>
            </w:r>
            <w:r>
              <w:rPr>
                <w:noProof/>
                <w:webHidden/>
              </w:rPr>
              <w:fldChar w:fldCharType="separate"/>
            </w:r>
            <w:r>
              <w:rPr>
                <w:noProof/>
                <w:webHidden/>
              </w:rPr>
              <w:t>3</w:t>
            </w:r>
            <w:r>
              <w:rPr>
                <w:noProof/>
                <w:webHidden/>
              </w:rPr>
              <w:fldChar w:fldCharType="end"/>
            </w:r>
          </w:hyperlink>
        </w:p>
        <w:p w14:paraId="3C2AC22D" w14:textId="600DDB13" w:rsidR="00492531" w:rsidRDefault="00492531">
          <w:pPr>
            <w:pStyle w:val="TDC4"/>
            <w:tabs>
              <w:tab w:val="left" w:pos="1100"/>
              <w:tab w:val="right" w:leader="dot" w:pos="9240"/>
            </w:tabs>
            <w:rPr>
              <w:rFonts w:asciiTheme="minorHAnsi" w:eastAsiaTheme="minorEastAsia" w:hAnsiTheme="minorHAnsi" w:cstheme="minorBidi"/>
              <w:noProof/>
              <w:kern w:val="2"/>
              <w:sz w:val="22"/>
              <w:lang w:val="es-CO"/>
              <w14:ligatures w14:val="standardContextual"/>
            </w:rPr>
          </w:pPr>
          <w:hyperlink w:anchor="_Toc155961555" w:history="1">
            <w:r w:rsidRPr="00D15940">
              <w:rPr>
                <w:rStyle w:val="Hipervnculo"/>
                <w:bCs/>
                <w:noProof/>
              </w:rPr>
              <w:t>2.</w:t>
            </w:r>
            <w:r>
              <w:rPr>
                <w:rFonts w:asciiTheme="minorHAnsi" w:eastAsiaTheme="minorEastAsia" w:hAnsiTheme="minorHAnsi" w:cstheme="minorBidi"/>
                <w:noProof/>
                <w:kern w:val="2"/>
                <w:sz w:val="22"/>
                <w:lang w:val="es-CO"/>
                <w14:ligatures w14:val="standardContextual"/>
              </w:rPr>
              <w:tab/>
            </w:r>
            <w:r w:rsidRPr="00D15940">
              <w:rPr>
                <w:rStyle w:val="Hipervnculo"/>
                <w:bCs/>
                <w:noProof/>
              </w:rPr>
              <w:t>Antrano has standing under the ICCPR</w:t>
            </w:r>
            <w:r>
              <w:rPr>
                <w:noProof/>
                <w:webHidden/>
              </w:rPr>
              <w:tab/>
            </w:r>
            <w:r>
              <w:rPr>
                <w:noProof/>
                <w:webHidden/>
              </w:rPr>
              <w:fldChar w:fldCharType="begin"/>
            </w:r>
            <w:r>
              <w:rPr>
                <w:noProof/>
                <w:webHidden/>
              </w:rPr>
              <w:instrText xml:space="preserve"> PAGEREF _Toc155961555 \h </w:instrText>
            </w:r>
            <w:r>
              <w:rPr>
                <w:noProof/>
                <w:webHidden/>
              </w:rPr>
            </w:r>
            <w:r>
              <w:rPr>
                <w:noProof/>
                <w:webHidden/>
              </w:rPr>
              <w:fldChar w:fldCharType="separate"/>
            </w:r>
            <w:r>
              <w:rPr>
                <w:noProof/>
                <w:webHidden/>
              </w:rPr>
              <w:t>4</w:t>
            </w:r>
            <w:r>
              <w:rPr>
                <w:noProof/>
                <w:webHidden/>
              </w:rPr>
              <w:fldChar w:fldCharType="end"/>
            </w:r>
          </w:hyperlink>
        </w:p>
        <w:p w14:paraId="4F681EB4" w14:textId="1EB69D2B" w:rsidR="00492531" w:rsidRDefault="00492531">
          <w:pPr>
            <w:pStyle w:val="TDC3"/>
            <w:tabs>
              <w:tab w:val="left" w:pos="1100"/>
              <w:tab w:val="right" w:leader="dot" w:pos="9240"/>
            </w:tabs>
            <w:rPr>
              <w:rFonts w:asciiTheme="minorHAnsi" w:eastAsiaTheme="minorEastAsia" w:hAnsiTheme="minorHAnsi" w:cstheme="minorBidi"/>
              <w:b w:val="0"/>
              <w:noProof/>
              <w:kern w:val="2"/>
              <w:sz w:val="22"/>
              <w:lang w:val="es-CO"/>
              <w14:ligatures w14:val="standardContextual"/>
            </w:rPr>
          </w:pPr>
          <w:hyperlink w:anchor="_Toc155961556" w:history="1">
            <w:r w:rsidRPr="00D15940">
              <w:rPr>
                <w:rStyle w:val="Hipervnculo"/>
                <w:noProof/>
              </w:rPr>
              <w:t>B.</w:t>
            </w:r>
            <w:r>
              <w:rPr>
                <w:rFonts w:asciiTheme="minorHAnsi" w:eastAsiaTheme="minorEastAsia" w:hAnsiTheme="minorHAnsi" w:cstheme="minorBidi"/>
                <w:b w:val="0"/>
                <w:noProof/>
                <w:kern w:val="2"/>
                <w:sz w:val="22"/>
                <w:lang w:val="es-CO"/>
                <w14:ligatures w14:val="standardContextual"/>
              </w:rPr>
              <w:tab/>
            </w:r>
            <w:r w:rsidRPr="00D15940">
              <w:rPr>
                <w:rStyle w:val="Hipervnculo"/>
                <w:noProof/>
              </w:rPr>
              <w:t xml:space="preserve">Alternatively, Antrano has standing based on the </w:t>
            </w:r>
            <w:r w:rsidRPr="00D15940">
              <w:rPr>
                <w:rStyle w:val="Hipervnculo"/>
                <w:i/>
                <w:iCs/>
                <w:noProof/>
              </w:rPr>
              <w:t>Erga Omnes</w:t>
            </w:r>
            <w:r w:rsidRPr="00D15940">
              <w:rPr>
                <w:rStyle w:val="Hipervnculo"/>
                <w:noProof/>
              </w:rPr>
              <w:t xml:space="preserve"> obligation to protect the basic human right to nationality</w:t>
            </w:r>
            <w:r>
              <w:rPr>
                <w:noProof/>
                <w:webHidden/>
              </w:rPr>
              <w:tab/>
            </w:r>
            <w:r>
              <w:rPr>
                <w:noProof/>
                <w:webHidden/>
              </w:rPr>
              <w:fldChar w:fldCharType="begin"/>
            </w:r>
            <w:r>
              <w:rPr>
                <w:noProof/>
                <w:webHidden/>
              </w:rPr>
              <w:instrText xml:space="preserve"> PAGEREF _Toc155961556 \h </w:instrText>
            </w:r>
            <w:r>
              <w:rPr>
                <w:noProof/>
                <w:webHidden/>
              </w:rPr>
            </w:r>
            <w:r>
              <w:rPr>
                <w:noProof/>
                <w:webHidden/>
              </w:rPr>
              <w:fldChar w:fldCharType="separate"/>
            </w:r>
            <w:r>
              <w:rPr>
                <w:noProof/>
                <w:webHidden/>
              </w:rPr>
              <w:t>5</w:t>
            </w:r>
            <w:r>
              <w:rPr>
                <w:noProof/>
                <w:webHidden/>
              </w:rPr>
              <w:fldChar w:fldCharType="end"/>
            </w:r>
          </w:hyperlink>
        </w:p>
        <w:p w14:paraId="686EAE83" w14:textId="768CD2EC" w:rsidR="00492531" w:rsidRDefault="00492531">
          <w:pPr>
            <w:pStyle w:val="TDC3"/>
            <w:tabs>
              <w:tab w:val="left" w:pos="1100"/>
              <w:tab w:val="right" w:leader="dot" w:pos="9240"/>
            </w:tabs>
            <w:rPr>
              <w:rFonts w:asciiTheme="minorHAnsi" w:eastAsiaTheme="minorEastAsia" w:hAnsiTheme="minorHAnsi" w:cstheme="minorBidi"/>
              <w:b w:val="0"/>
              <w:noProof/>
              <w:kern w:val="2"/>
              <w:sz w:val="22"/>
              <w:lang w:val="es-CO"/>
              <w14:ligatures w14:val="standardContextual"/>
            </w:rPr>
          </w:pPr>
          <w:hyperlink w:anchor="_Toc155961557" w:history="1">
            <w:r w:rsidRPr="00D15940">
              <w:rPr>
                <w:rStyle w:val="Hipervnculo"/>
                <w:noProof/>
              </w:rPr>
              <w:t>C.</w:t>
            </w:r>
            <w:r>
              <w:rPr>
                <w:rFonts w:asciiTheme="minorHAnsi" w:eastAsiaTheme="minorEastAsia" w:hAnsiTheme="minorHAnsi" w:cstheme="minorBidi"/>
                <w:b w:val="0"/>
                <w:noProof/>
                <w:kern w:val="2"/>
                <w:sz w:val="22"/>
                <w:lang w:val="es-CO"/>
                <w14:ligatures w14:val="standardContextual"/>
              </w:rPr>
              <w:tab/>
            </w:r>
            <w:r w:rsidRPr="00D15940">
              <w:rPr>
                <w:rStyle w:val="Hipervnculo"/>
                <w:noProof/>
              </w:rPr>
              <w:t>Antrano’s standing is not barred by the Nationality of the Claimant rule</w:t>
            </w:r>
            <w:r>
              <w:rPr>
                <w:noProof/>
                <w:webHidden/>
              </w:rPr>
              <w:tab/>
            </w:r>
            <w:r>
              <w:rPr>
                <w:noProof/>
                <w:webHidden/>
              </w:rPr>
              <w:fldChar w:fldCharType="begin"/>
            </w:r>
            <w:r>
              <w:rPr>
                <w:noProof/>
                <w:webHidden/>
              </w:rPr>
              <w:instrText xml:space="preserve"> PAGEREF _Toc155961557 \h </w:instrText>
            </w:r>
            <w:r>
              <w:rPr>
                <w:noProof/>
                <w:webHidden/>
              </w:rPr>
            </w:r>
            <w:r>
              <w:rPr>
                <w:noProof/>
                <w:webHidden/>
              </w:rPr>
              <w:fldChar w:fldCharType="separate"/>
            </w:r>
            <w:r>
              <w:rPr>
                <w:noProof/>
                <w:webHidden/>
              </w:rPr>
              <w:t>7</w:t>
            </w:r>
            <w:r>
              <w:rPr>
                <w:noProof/>
                <w:webHidden/>
              </w:rPr>
              <w:fldChar w:fldCharType="end"/>
            </w:r>
          </w:hyperlink>
        </w:p>
        <w:p w14:paraId="7929D099" w14:textId="5088783C" w:rsidR="00492531" w:rsidRDefault="00492531">
          <w:pPr>
            <w:pStyle w:val="TDC2"/>
            <w:tabs>
              <w:tab w:val="right" w:leader="dot" w:pos="9240"/>
            </w:tabs>
            <w:rPr>
              <w:rFonts w:asciiTheme="minorHAnsi" w:eastAsiaTheme="minorEastAsia" w:hAnsiTheme="minorHAnsi" w:cstheme="minorBidi"/>
              <w:b w:val="0"/>
              <w:noProof/>
              <w:kern w:val="2"/>
              <w:sz w:val="22"/>
              <w:lang w:val="es-CO"/>
              <w14:ligatures w14:val="standardContextual"/>
            </w:rPr>
          </w:pPr>
          <w:hyperlink w:anchor="_Toc155961558" w:history="1">
            <w:r w:rsidRPr="00D15940">
              <w:rPr>
                <w:rStyle w:val="Hipervnculo"/>
                <w:noProof/>
                <w:highlight w:val="white"/>
              </w:rPr>
              <w:t>II. REMISIA’S DEPRIVATION OF NATIONALITY OF THE STERREN FORTY, RENDERING THEM STATELESS, IS A VIOLATION OF INTERNATIONAL LAW</w:t>
            </w:r>
            <w:r>
              <w:rPr>
                <w:noProof/>
                <w:webHidden/>
              </w:rPr>
              <w:tab/>
            </w:r>
            <w:r>
              <w:rPr>
                <w:noProof/>
                <w:webHidden/>
              </w:rPr>
              <w:fldChar w:fldCharType="begin"/>
            </w:r>
            <w:r>
              <w:rPr>
                <w:noProof/>
                <w:webHidden/>
              </w:rPr>
              <w:instrText xml:space="preserve"> PAGEREF _Toc155961558 \h </w:instrText>
            </w:r>
            <w:r>
              <w:rPr>
                <w:noProof/>
                <w:webHidden/>
              </w:rPr>
            </w:r>
            <w:r>
              <w:rPr>
                <w:noProof/>
                <w:webHidden/>
              </w:rPr>
              <w:fldChar w:fldCharType="separate"/>
            </w:r>
            <w:r>
              <w:rPr>
                <w:noProof/>
                <w:webHidden/>
              </w:rPr>
              <w:t>9</w:t>
            </w:r>
            <w:r>
              <w:rPr>
                <w:noProof/>
                <w:webHidden/>
              </w:rPr>
              <w:fldChar w:fldCharType="end"/>
            </w:r>
          </w:hyperlink>
        </w:p>
        <w:p w14:paraId="543464D5" w14:textId="3E5F0625" w:rsidR="00492531" w:rsidRDefault="00492531">
          <w:pPr>
            <w:pStyle w:val="TDC3"/>
            <w:tabs>
              <w:tab w:val="left" w:pos="1100"/>
              <w:tab w:val="right" w:leader="dot" w:pos="9240"/>
            </w:tabs>
            <w:rPr>
              <w:rFonts w:asciiTheme="minorHAnsi" w:eastAsiaTheme="minorEastAsia" w:hAnsiTheme="minorHAnsi" w:cstheme="minorBidi"/>
              <w:b w:val="0"/>
              <w:noProof/>
              <w:kern w:val="2"/>
              <w:sz w:val="22"/>
              <w:lang w:val="es-CO"/>
              <w14:ligatures w14:val="standardContextual"/>
            </w:rPr>
          </w:pPr>
          <w:hyperlink w:anchor="_Toc155961559" w:history="1">
            <w:r w:rsidRPr="00D15940">
              <w:rPr>
                <w:rStyle w:val="Hipervnculo"/>
                <w:noProof/>
                <w:highlight w:val="white"/>
              </w:rPr>
              <w:t>A.</w:t>
            </w:r>
            <w:r>
              <w:rPr>
                <w:rFonts w:asciiTheme="minorHAnsi" w:eastAsiaTheme="minorEastAsia" w:hAnsiTheme="minorHAnsi" w:cstheme="minorBidi"/>
                <w:b w:val="0"/>
                <w:noProof/>
                <w:kern w:val="2"/>
                <w:sz w:val="22"/>
                <w:lang w:val="es-CO"/>
                <w14:ligatures w14:val="standardContextual"/>
              </w:rPr>
              <w:tab/>
            </w:r>
            <w:r w:rsidRPr="00D15940">
              <w:rPr>
                <w:rStyle w:val="Hipervnculo"/>
                <w:noProof/>
                <w:highlight w:val="white"/>
              </w:rPr>
              <w:t>Remisia violated its obligations under the CRS</w:t>
            </w:r>
            <w:r>
              <w:rPr>
                <w:noProof/>
                <w:webHidden/>
              </w:rPr>
              <w:tab/>
            </w:r>
            <w:r>
              <w:rPr>
                <w:noProof/>
                <w:webHidden/>
              </w:rPr>
              <w:fldChar w:fldCharType="begin"/>
            </w:r>
            <w:r>
              <w:rPr>
                <w:noProof/>
                <w:webHidden/>
              </w:rPr>
              <w:instrText xml:space="preserve"> PAGEREF _Toc155961559 \h </w:instrText>
            </w:r>
            <w:r>
              <w:rPr>
                <w:noProof/>
                <w:webHidden/>
              </w:rPr>
            </w:r>
            <w:r>
              <w:rPr>
                <w:noProof/>
                <w:webHidden/>
              </w:rPr>
              <w:fldChar w:fldCharType="separate"/>
            </w:r>
            <w:r>
              <w:rPr>
                <w:noProof/>
                <w:webHidden/>
              </w:rPr>
              <w:t>9</w:t>
            </w:r>
            <w:r>
              <w:rPr>
                <w:noProof/>
                <w:webHidden/>
              </w:rPr>
              <w:fldChar w:fldCharType="end"/>
            </w:r>
          </w:hyperlink>
        </w:p>
        <w:p w14:paraId="790D24E7" w14:textId="6FD513C3" w:rsidR="00492531" w:rsidRDefault="00492531">
          <w:pPr>
            <w:pStyle w:val="TDC4"/>
            <w:tabs>
              <w:tab w:val="left" w:pos="1100"/>
              <w:tab w:val="right" w:leader="dot" w:pos="9240"/>
            </w:tabs>
            <w:rPr>
              <w:rFonts w:asciiTheme="minorHAnsi" w:eastAsiaTheme="minorEastAsia" w:hAnsiTheme="minorHAnsi" w:cstheme="minorBidi"/>
              <w:noProof/>
              <w:kern w:val="2"/>
              <w:sz w:val="22"/>
              <w:lang w:val="es-CO"/>
              <w14:ligatures w14:val="standardContextual"/>
            </w:rPr>
          </w:pPr>
          <w:hyperlink w:anchor="_Toc155961560" w:history="1">
            <w:r w:rsidRPr="00D15940">
              <w:rPr>
                <w:rStyle w:val="Hipervnculo"/>
                <w:bCs/>
                <w:noProof/>
                <w:highlight w:val="white"/>
              </w:rPr>
              <w:t>1.</w:t>
            </w:r>
            <w:r>
              <w:rPr>
                <w:rFonts w:asciiTheme="minorHAnsi" w:eastAsiaTheme="minorEastAsia" w:hAnsiTheme="minorHAnsi" w:cstheme="minorBidi"/>
                <w:noProof/>
                <w:kern w:val="2"/>
                <w:sz w:val="22"/>
                <w:lang w:val="es-CO"/>
                <w14:ligatures w14:val="standardContextual"/>
              </w:rPr>
              <w:tab/>
            </w:r>
            <w:r w:rsidRPr="00D15940">
              <w:rPr>
                <w:rStyle w:val="Hipervnculo"/>
                <w:bCs/>
                <w:noProof/>
                <w:highlight w:val="white"/>
              </w:rPr>
              <w:t>Remisia violated Article 8(1) of the CRS</w:t>
            </w:r>
            <w:r>
              <w:rPr>
                <w:noProof/>
                <w:webHidden/>
              </w:rPr>
              <w:tab/>
            </w:r>
            <w:r>
              <w:rPr>
                <w:noProof/>
                <w:webHidden/>
              </w:rPr>
              <w:fldChar w:fldCharType="begin"/>
            </w:r>
            <w:r>
              <w:rPr>
                <w:noProof/>
                <w:webHidden/>
              </w:rPr>
              <w:instrText xml:space="preserve"> PAGEREF _Toc155961560 \h </w:instrText>
            </w:r>
            <w:r>
              <w:rPr>
                <w:noProof/>
                <w:webHidden/>
              </w:rPr>
            </w:r>
            <w:r>
              <w:rPr>
                <w:noProof/>
                <w:webHidden/>
              </w:rPr>
              <w:fldChar w:fldCharType="separate"/>
            </w:r>
            <w:r>
              <w:rPr>
                <w:noProof/>
                <w:webHidden/>
              </w:rPr>
              <w:t>9</w:t>
            </w:r>
            <w:r>
              <w:rPr>
                <w:noProof/>
                <w:webHidden/>
              </w:rPr>
              <w:fldChar w:fldCharType="end"/>
            </w:r>
          </w:hyperlink>
        </w:p>
        <w:p w14:paraId="084DB6D8" w14:textId="1D4C401E" w:rsidR="00492531" w:rsidRDefault="00492531">
          <w:pPr>
            <w:pStyle w:val="TDC5"/>
            <w:rPr>
              <w:rFonts w:asciiTheme="minorHAnsi" w:eastAsiaTheme="minorEastAsia" w:hAnsiTheme="minorHAnsi" w:cstheme="minorBidi"/>
              <w:i w:val="0"/>
              <w:noProof/>
              <w:kern w:val="2"/>
              <w:sz w:val="22"/>
              <w:lang w:val="es-CO"/>
              <w14:ligatures w14:val="standardContextual"/>
            </w:rPr>
          </w:pPr>
          <w:hyperlink w:anchor="_Toc155961561" w:history="1">
            <w:r w:rsidRPr="00D15940">
              <w:rPr>
                <w:rStyle w:val="Hipervnculo"/>
                <w:bCs/>
                <w:iCs/>
                <w:noProof/>
              </w:rPr>
              <w:t>a.</w:t>
            </w:r>
            <w:r>
              <w:rPr>
                <w:rFonts w:asciiTheme="minorHAnsi" w:eastAsiaTheme="minorEastAsia" w:hAnsiTheme="minorHAnsi" w:cstheme="minorBidi"/>
                <w:i w:val="0"/>
                <w:noProof/>
                <w:kern w:val="2"/>
                <w:sz w:val="22"/>
                <w:lang w:val="es-CO"/>
                <w14:ligatures w14:val="standardContextual"/>
              </w:rPr>
              <w:tab/>
            </w:r>
            <w:r w:rsidRPr="00D15940">
              <w:rPr>
                <w:rStyle w:val="Hipervnculo"/>
                <w:bCs/>
                <w:iCs/>
                <w:noProof/>
              </w:rPr>
              <w:t>Rendering the Sterren Forty stateless was not in accordance with law pursuant to Article 8(4) of the CRS</w:t>
            </w:r>
            <w:r>
              <w:rPr>
                <w:noProof/>
                <w:webHidden/>
              </w:rPr>
              <w:tab/>
            </w:r>
            <w:r>
              <w:rPr>
                <w:noProof/>
                <w:webHidden/>
              </w:rPr>
              <w:fldChar w:fldCharType="begin"/>
            </w:r>
            <w:r>
              <w:rPr>
                <w:noProof/>
                <w:webHidden/>
              </w:rPr>
              <w:instrText xml:space="preserve"> PAGEREF _Toc155961561 \h </w:instrText>
            </w:r>
            <w:r>
              <w:rPr>
                <w:noProof/>
                <w:webHidden/>
              </w:rPr>
            </w:r>
            <w:r>
              <w:rPr>
                <w:noProof/>
                <w:webHidden/>
              </w:rPr>
              <w:fldChar w:fldCharType="separate"/>
            </w:r>
            <w:r>
              <w:rPr>
                <w:noProof/>
                <w:webHidden/>
              </w:rPr>
              <w:t>10</w:t>
            </w:r>
            <w:r>
              <w:rPr>
                <w:noProof/>
                <w:webHidden/>
              </w:rPr>
              <w:fldChar w:fldCharType="end"/>
            </w:r>
          </w:hyperlink>
        </w:p>
        <w:p w14:paraId="286C38F0" w14:textId="66E7FFFB" w:rsidR="00492531" w:rsidRDefault="00492531">
          <w:pPr>
            <w:pStyle w:val="TDC5"/>
            <w:rPr>
              <w:rFonts w:asciiTheme="minorHAnsi" w:eastAsiaTheme="minorEastAsia" w:hAnsiTheme="minorHAnsi" w:cstheme="minorBidi"/>
              <w:i w:val="0"/>
              <w:noProof/>
              <w:kern w:val="2"/>
              <w:sz w:val="22"/>
              <w:lang w:val="es-CO"/>
              <w14:ligatures w14:val="standardContextual"/>
            </w:rPr>
          </w:pPr>
          <w:hyperlink w:anchor="_Toc155961562" w:history="1">
            <w:r w:rsidRPr="00D15940">
              <w:rPr>
                <w:rStyle w:val="Hipervnculo"/>
                <w:bCs/>
                <w:iCs/>
                <w:noProof/>
              </w:rPr>
              <w:t>b.</w:t>
            </w:r>
            <w:r>
              <w:rPr>
                <w:rFonts w:asciiTheme="minorHAnsi" w:eastAsiaTheme="minorEastAsia" w:hAnsiTheme="minorHAnsi" w:cstheme="minorBidi"/>
                <w:i w:val="0"/>
                <w:noProof/>
                <w:kern w:val="2"/>
                <w:sz w:val="22"/>
                <w:lang w:val="es-CO"/>
                <w14:ligatures w14:val="standardContextual"/>
              </w:rPr>
              <w:tab/>
            </w:r>
            <w:r w:rsidRPr="00D15940">
              <w:rPr>
                <w:rStyle w:val="Hipervnculo"/>
                <w:bCs/>
                <w:iCs/>
                <w:noProof/>
              </w:rPr>
              <w:t>Rendering the Sterren Forty stateless did not fall within the grounds recognized in Article 8(3) of the CRS</w:t>
            </w:r>
            <w:r>
              <w:rPr>
                <w:noProof/>
                <w:webHidden/>
              </w:rPr>
              <w:tab/>
            </w:r>
            <w:r>
              <w:rPr>
                <w:noProof/>
                <w:webHidden/>
              </w:rPr>
              <w:fldChar w:fldCharType="begin"/>
            </w:r>
            <w:r>
              <w:rPr>
                <w:noProof/>
                <w:webHidden/>
              </w:rPr>
              <w:instrText xml:space="preserve"> PAGEREF _Toc155961562 \h </w:instrText>
            </w:r>
            <w:r>
              <w:rPr>
                <w:noProof/>
                <w:webHidden/>
              </w:rPr>
            </w:r>
            <w:r>
              <w:rPr>
                <w:noProof/>
                <w:webHidden/>
              </w:rPr>
              <w:fldChar w:fldCharType="separate"/>
            </w:r>
            <w:r>
              <w:rPr>
                <w:noProof/>
                <w:webHidden/>
              </w:rPr>
              <w:t>11</w:t>
            </w:r>
            <w:r>
              <w:rPr>
                <w:noProof/>
                <w:webHidden/>
              </w:rPr>
              <w:fldChar w:fldCharType="end"/>
            </w:r>
          </w:hyperlink>
        </w:p>
        <w:p w14:paraId="5AD11911" w14:textId="36C7D136" w:rsidR="00492531" w:rsidRDefault="00492531">
          <w:pPr>
            <w:pStyle w:val="TDC5"/>
            <w:rPr>
              <w:rFonts w:asciiTheme="minorHAnsi" w:eastAsiaTheme="minorEastAsia" w:hAnsiTheme="minorHAnsi" w:cstheme="minorBidi"/>
              <w:i w:val="0"/>
              <w:noProof/>
              <w:kern w:val="2"/>
              <w:sz w:val="22"/>
              <w:lang w:val="es-CO"/>
              <w14:ligatures w14:val="standardContextual"/>
            </w:rPr>
          </w:pPr>
          <w:hyperlink w:anchor="_Toc155961563" w:history="1">
            <w:r w:rsidRPr="00D15940">
              <w:rPr>
                <w:rStyle w:val="Hipervnculo"/>
                <w:bCs/>
                <w:iCs/>
                <w:noProof/>
              </w:rPr>
              <w:t>c.</w:t>
            </w:r>
            <w:r>
              <w:rPr>
                <w:rFonts w:asciiTheme="minorHAnsi" w:eastAsiaTheme="minorEastAsia" w:hAnsiTheme="minorHAnsi" w:cstheme="minorBidi"/>
                <w:i w:val="0"/>
                <w:noProof/>
                <w:kern w:val="2"/>
                <w:sz w:val="22"/>
                <w:lang w:val="es-CO"/>
                <w14:ligatures w14:val="standardContextual"/>
              </w:rPr>
              <w:tab/>
            </w:r>
            <w:r w:rsidRPr="00D15940">
              <w:rPr>
                <w:rStyle w:val="Hipervnculo"/>
                <w:bCs/>
                <w:iCs/>
                <w:noProof/>
              </w:rPr>
              <w:t>Rendering the Sterren Forty stateless was disproportionate to achieve Remisia’s aims</w:t>
            </w:r>
            <w:r>
              <w:rPr>
                <w:noProof/>
                <w:webHidden/>
              </w:rPr>
              <w:tab/>
            </w:r>
            <w:r>
              <w:rPr>
                <w:noProof/>
                <w:webHidden/>
              </w:rPr>
              <w:fldChar w:fldCharType="begin"/>
            </w:r>
            <w:r>
              <w:rPr>
                <w:noProof/>
                <w:webHidden/>
              </w:rPr>
              <w:instrText xml:space="preserve"> PAGEREF _Toc155961563 \h </w:instrText>
            </w:r>
            <w:r>
              <w:rPr>
                <w:noProof/>
                <w:webHidden/>
              </w:rPr>
            </w:r>
            <w:r>
              <w:rPr>
                <w:noProof/>
                <w:webHidden/>
              </w:rPr>
              <w:fldChar w:fldCharType="separate"/>
            </w:r>
            <w:r>
              <w:rPr>
                <w:noProof/>
                <w:webHidden/>
              </w:rPr>
              <w:t>12</w:t>
            </w:r>
            <w:r>
              <w:rPr>
                <w:noProof/>
                <w:webHidden/>
              </w:rPr>
              <w:fldChar w:fldCharType="end"/>
            </w:r>
          </w:hyperlink>
        </w:p>
        <w:p w14:paraId="22BB7EC3" w14:textId="4046303E" w:rsidR="00492531" w:rsidRDefault="00492531">
          <w:pPr>
            <w:pStyle w:val="TDC4"/>
            <w:tabs>
              <w:tab w:val="left" w:pos="1100"/>
              <w:tab w:val="right" w:leader="dot" w:pos="9240"/>
            </w:tabs>
            <w:rPr>
              <w:rFonts w:asciiTheme="minorHAnsi" w:eastAsiaTheme="minorEastAsia" w:hAnsiTheme="minorHAnsi" w:cstheme="minorBidi"/>
              <w:noProof/>
              <w:kern w:val="2"/>
              <w:sz w:val="22"/>
              <w:lang w:val="es-CO"/>
              <w14:ligatures w14:val="standardContextual"/>
            </w:rPr>
          </w:pPr>
          <w:hyperlink w:anchor="_Toc155961564" w:history="1">
            <w:r w:rsidRPr="00D15940">
              <w:rPr>
                <w:rStyle w:val="Hipervnculo"/>
                <w:bCs/>
                <w:noProof/>
                <w:highlight w:val="white"/>
              </w:rPr>
              <w:t>2.</w:t>
            </w:r>
            <w:r>
              <w:rPr>
                <w:rFonts w:asciiTheme="minorHAnsi" w:eastAsiaTheme="minorEastAsia" w:hAnsiTheme="minorHAnsi" w:cstheme="minorBidi"/>
                <w:noProof/>
                <w:kern w:val="2"/>
                <w:sz w:val="22"/>
                <w:lang w:val="es-CO"/>
                <w14:ligatures w14:val="standardContextual"/>
              </w:rPr>
              <w:tab/>
            </w:r>
            <w:r w:rsidRPr="00D15940">
              <w:rPr>
                <w:rStyle w:val="Hipervnculo"/>
                <w:bCs/>
                <w:noProof/>
                <w:highlight w:val="white"/>
              </w:rPr>
              <w:t>Remisia violated Article 9 of the CRS</w:t>
            </w:r>
            <w:r>
              <w:rPr>
                <w:noProof/>
                <w:webHidden/>
              </w:rPr>
              <w:tab/>
            </w:r>
            <w:r>
              <w:rPr>
                <w:noProof/>
                <w:webHidden/>
              </w:rPr>
              <w:fldChar w:fldCharType="begin"/>
            </w:r>
            <w:r>
              <w:rPr>
                <w:noProof/>
                <w:webHidden/>
              </w:rPr>
              <w:instrText xml:space="preserve"> PAGEREF _Toc155961564 \h </w:instrText>
            </w:r>
            <w:r>
              <w:rPr>
                <w:noProof/>
                <w:webHidden/>
              </w:rPr>
            </w:r>
            <w:r>
              <w:rPr>
                <w:noProof/>
                <w:webHidden/>
              </w:rPr>
              <w:fldChar w:fldCharType="separate"/>
            </w:r>
            <w:r>
              <w:rPr>
                <w:noProof/>
                <w:webHidden/>
              </w:rPr>
              <w:t>13</w:t>
            </w:r>
            <w:r>
              <w:rPr>
                <w:noProof/>
                <w:webHidden/>
              </w:rPr>
              <w:fldChar w:fldCharType="end"/>
            </w:r>
          </w:hyperlink>
        </w:p>
        <w:p w14:paraId="0DFAD3A9" w14:textId="062FB4A4" w:rsidR="00492531" w:rsidRDefault="00492531">
          <w:pPr>
            <w:pStyle w:val="TDC4"/>
            <w:tabs>
              <w:tab w:val="left" w:pos="1100"/>
              <w:tab w:val="right" w:leader="dot" w:pos="9240"/>
            </w:tabs>
            <w:rPr>
              <w:rFonts w:asciiTheme="minorHAnsi" w:eastAsiaTheme="minorEastAsia" w:hAnsiTheme="minorHAnsi" w:cstheme="minorBidi"/>
              <w:noProof/>
              <w:kern w:val="2"/>
              <w:sz w:val="22"/>
              <w:lang w:val="es-CO"/>
              <w14:ligatures w14:val="standardContextual"/>
            </w:rPr>
          </w:pPr>
          <w:hyperlink w:anchor="_Toc155961565" w:history="1">
            <w:r w:rsidRPr="00D15940">
              <w:rPr>
                <w:rStyle w:val="Hipervnculo"/>
                <w:bCs/>
                <w:noProof/>
                <w:highlight w:val="white"/>
              </w:rPr>
              <w:t>3.</w:t>
            </w:r>
            <w:r>
              <w:rPr>
                <w:rFonts w:asciiTheme="minorHAnsi" w:eastAsiaTheme="minorEastAsia" w:hAnsiTheme="minorHAnsi" w:cstheme="minorBidi"/>
                <w:noProof/>
                <w:kern w:val="2"/>
                <w:sz w:val="22"/>
                <w:lang w:val="es-CO"/>
                <w14:ligatures w14:val="standardContextual"/>
              </w:rPr>
              <w:tab/>
            </w:r>
            <w:r w:rsidRPr="00D15940">
              <w:rPr>
                <w:rStyle w:val="Hipervnculo"/>
                <w:bCs/>
                <w:noProof/>
                <w:highlight w:val="white"/>
              </w:rPr>
              <w:t>Furthermore, Remisia cannot rely on Article 8(3) of the CRS to render Sterren Forty stateless</w:t>
            </w:r>
            <w:r>
              <w:rPr>
                <w:noProof/>
                <w:webHidden/>
              </w:rPr>
              <w:tab/>
            </w:r>
            <w:r>
              <w:rPr>
                <w:noProof/>
                <w:webHidden/>
              </w:rPr>
              <w:fldChar w:fldCharType="begin"/>
            </w:r>
            <w:r>
              <w:rPr>
                <w:noProof/>
                <w:webHidden/>
              </w:rPr>
              <w:instrText xml:space="preserve"> PAGEREF _Toc155961565 \h </w:instrText>
            </w:r>
            <w:r>
              <w:rPr>
                <w:noProof/>
                <w:webHidden/>
              </w:rPr>
            </w:r>
            <w:r>
              <w:rPr>
                <w:noProof/>
                <w:webHidden/>
              </w:rPr>
              <w:fldChar w:fldCharType="separate"/>
            </w:r>
            <w:r>
              <w:rPr>
                <w:noProof/>
                <w:webHidden/>
              </w:rPr>
              <w:t>14</w:t>
            </w:r>
            <w:r>
              <w:rPr>
                <w:noProof/>
                <w:webHidden/>
              </w:rPr>
              <w:fldChar w:fldCharType="end"/>
            </w:r>
          </w:hyperlink>
        </w:p>
        <w:p w14:paraId="6A96C58C" w14:textId="4629AA05" w:rsidR="00492531" w:rsidRDefault="00492531">
          <w:pPr>
            <w:pStyle w:val="TDC3"/>
            <w:tabs>
              <w:tab w:val="left" w:pos="1100"/>
              <w:tab w:val="right" w:leader="dot" w:pos="9240"/>
            </w:tabs>
            <w:rPr>
              <w:rFonts w:asciiTheme="minorHAnsi" w:eastAsiaTheme="minorEastAsia" w:hAnsiTheme="minorHAnsi" w:cstheme="minorBidi"/>
              <w:b w:val="0"/>
              <w:noProof/>
              <w:kern w:val="2"/>
              <w:sz w:val="22"/>
              <w:lang w:val="es-CO"/>
              <w14:ligatures w14:val="standardContextual"/>
            </w:rPr>
          </w:pPr>
          <w:hyperlink w:anchor="_Toc155961566" w:history="1">
            <w:r w:rsidRPr="00D15940">
              <w:rPr>
                <w:rStyle w:val="Hipervnculo"/>
                <w:noProof/>
                <w:highlight w:val="white"/>
              </w:rPr>
              <w:t>B.</w:t>
            </w:r>
            <w:r>
              <w:rPr>
                <w:rFonts w:asciiTheme="minorHAnsi" w:eastAsiaTheme="minorEastAsia" w:hAnsiTheme="minorHAnsi" w:cstheme="minorBidi"/>
                <w:b w:val="0"/>
                <w:noProof/>
                <w:kern w:val="2"/>
                <w:sz w:val="22"/>
                <w:lang w:val="es-CO"/>
                <w14:ligatures w14:val="standardContextual"/>
              </w:rPr>
              <w:tab/>
            </w:r>
            <w:r w:rsidRPr="00D15940">
              <w:rPr>
                <w:rStyle w:val="Hipervnculo"/>
                <w:noProof/>
                <w:highlight w:val="white"/>
              </w:rPr>
              <w:t>Remisia violated its obligations under Articles 19 and 21 of the ICCPR</w:t>
            </w:r>
            <w:r>
              <w:rPr>
                <w:noProof/>
                <w:webHidden/>
              </w:rPr>
              <w:tab/>
            </w:r>
            <w:r>
              <w:rPr>
                <w:noProof/>
                <w:webHidden/>
              </w:rPr>
              <w:fldChar w:fldCharType="begin"/>
            </w:r>
            <w:r>
              <w:rPr>
                <w:noProof/>
                <w:webHidden/>
              </w:rPr>
              <w:instrText xml:space="preserve"> PAGEREF _Toc155961566 \h </w:instrText>
            </w:r>
            <w:r>
              <w:rPr>
                <w:noProof/>
                <w:webHidden/>
              </w:rPr>
            </w:r>
            <w:r>
              <w:rPr>
                <w:noProof/>
                <w:webHidden/>
              </w:rPr>
              <w:fldChar w:fldCharType="separate"/>
            </w:r>
            <w:r>
              <w:rPr>
                <w:noProof/>
                <w:webHidden/>
              </w:rPr>
              <w:t>15</w:t>
            </w:r>
            <w:r>
              <w:rPr>
                <w:noProof/>
                <w:webHidden/>
              </w:rPr>
              <w:fldChar w:fldCharType="end"/>
            </w:r>
          </w:hyperlink>
        </w:p>
        <w:p w14:paraId="35256CD1" w14:textId="39A2F362" w:rsidR="00492531" w:rsidRDefault="00492531">
          <w:pPr>
            <w:pStyle w:val="TDC4"/>
            <w:tabs>
              <w:tab w:val="left" w:pos="1100"/>
              <w:tab w:val="right" w:leader="dot" w:pos="9240"/>
            </w:tabs>
            <w:rPr>
              <w:rFonts w:asciiTheme="minorHAnsi" w:eastAsiaTheme="minorEastAsia" w:hAnsiTheme="minorHAnsi" w:cstheme="minorBidi"/>
              <w:noProof/>
              <w:kern w:val="2"/>
              <w:sz w:val="22"/>
              <w:lang w:val="es-CO"/>
              <w14:ligatures w14:val="standardContextual"/>
            </w:rPr>
          </w:pPr>
          <w:hyperlink w:anchor="_Toc155961567" w:history="1">
            <w:r w:rsidRPr="00D15940">
              <w:rPr>
                <w:rStyle w:val="Hipervnculo"/>
                <w:bCs/>
                <w:noProof/>
                <w:highlight w:val="white"/>
              </w:rPr>
              <w:t>1.</w:t>
            </w:r>
            <w:r>
              <w:rPr>
                <w:rFonts w:asciiTheme="minorHAnsi" w:eastAsiaTheme="minorEastAsia" w:hAnsiTheme="minorHAnsi" w:cstheme="minorBidi"/>
                <w:noProof/>
                <w:kern w:val="2"/>
                <w:sz w:val="22"/>
                <w:lang w:val="es-CO"/>
                <w14:ligatures w14:val="standardContextual"/>
              </w:rPr>
              <w:tab/>
            </w:r>
            <w:r w:rsidRPr="00D15940">
              <w:rPr>
                <w:rStyle w:val="Hipervnculo"/>
                <w:bCs/>
                <w:noProof/>
                <w:highlight w:val="white"/>
              </w:rPr>
              <w:t>Remisia’s restrictions on the rights to freedom of expression and assembly of the Sterren Forty were not based on legitimate aims</w:t>
            </w:r>
            <w:r>
              <w:rPr>
                <w:noProof/>
                <w:webHidden/>
              </w:rPr>
              <w:tab/>
            </w:r>
            <w:r>
              <w:rPr>
                <w:noProof/>
                <w:webHidden/>
              </w:rPr>
              <w:fldChar w:fldCharType="begin"/>
            </w:r>
            <w:r>
              <w:rPr>
                <w:noProof/>
                <w:webHidden/>
              </w:rPr>
              <w:instrText xml:space="preserve"> PAGEREF _Toc155961567 \h </w:instrText>
            </w:r>
            <w:r>
              <w:rPr>
                <w:noProof/>
                <w:webHidden/>
              </w:rPr>
            </w:r>
            <w:r>
              <w:rPr>
                <w:noProof/>
                <w:webHidden/>
              </w:rPr>
              <w:fldChar w:fldCharType="separate"/>
            </w:r>
            <w:r>
              <w:rPr>
                <w:noProof/>
                <w:webHidden/>
              </w:rPr>
              <w:t>16</w:t>
            </w:r>
            <w:r>
              <w:rPr>
                <w:noProof/>
                <w:webHidden/>
              </w:rPr>
              <w:fldChar w:fldCharType="end"/>
            </w:r>
          </w:hyperlink>
        </w:p>
        <w:p w14:paraId="77CC6969" w14:textId="7BDC1B98" w:rsidR="00492531" w:rsidRDefault="00492531">
          <w:pPr>
            <w:pStyle w:val="TDC5"/>
            <w:rPr>
              <w:rFonts w:asciiTheme="minorHAnsi" w:eastAsiaTheme="minorEastAsia" w:hAnsiTheme="minorHAnsi" w:cstheme="minorBidi"/>
              <w:i w:val="0"/>
              <w:noProof/>
              <w:kern w:val="2"/>
              <w:sz w:val="22"/>
              <w:lang w:val="es-CO"/>
              <w14:ligatures w14:val="standardContextual"/>
            </w:rPr>
          </w:pPr>
          <w:hyperlink w:anchor="_Toc155961568" w:history="1">
            <w:r w:rsidRPr="00D15940">
              <w:rPr>
                <w:rStyle w:val="Hipervnculo"/>
                <w:bCs/>
                <w:iCs/>
                <w:noProof/>
              </w:rPr>
              <w:t>a.</w:t>
            </w:r>
            <w:r>
              <w:rPr>
                <w:rFonts w:asciiTheme="minorHAnsi" w:eastAsiaTheme="minorEastAsia" w:hAnsiTheme="minorHAnsi" w:cstheme="minorBidi"/>
                <w:i w:val="0"/>
                <w:noProof/>
                <w:kern w:val="2"/>
                <w:sz w:val="22"/>
                <w:lang w:val="es-CO"/>
                <w14:ligatures w14:val="standardContextual"/>
              </w:rPr>
              <w:tab/>
            </w:r>
            <w:r w:rsidRPr="00D15940">
              <w:rPr>
                <w:rStyle w:val="Hipervnculo"/>
                <w:bCs/>
                <w:iCs/>
                <w:noProof/>
              </w:rPr>
              <w:t>Remisia’s restriction cannot be justified on national security</w:t>
            </w:r>
            <w:r>
              <w:rPr>
                <w:noProof/>
                <w:webHidden/>
              </w:rPr>
              <w:tab/>
            </w:r>
            <w:r>
              <w:rPr>
                <w:noProof/>
                <w:webHidden/>
              </w:rPr>
              <w:fldChar w:fldCharType="begin"/>
            </w:r>
            <w:r>
              <w:rPr>
                <w:noProof/>
                <w:webHidden/>
              </w:rPr>
              <w:instrText xml:space="preserve"> PAGEREF _Toc155961568 \h </w:instrText>
            </w:r>
            <w:r>
              <w:rPr>
                <w:noProof/>
                <w:webHidden/>
              </w:rPr>
            </w:r>
            <w:r>
              <w:rPr>
                <w:noProof/>
                <w:webHidden/>
              </w:rPr>
              <w:fldChar w:fldCharType="separate"/>
            </w:r>
            <w:r>
              <w:rPr>
                <w:noProof/>
                <w:webHidden/>
              </w:rPr>
              <w:t>16</w:t>
            </w:r>
            <w:r>
              <w:rPr>
                <w:noProof/>
                <w:webHidden/>
              </w:rPr>
              <w:fldChar w:fldCharType="end"/>
            </w:r>
          </w:hyperlink>
        </w:p>
        <w:p w14:paraId="77F4D907" w14:textId="2981A3A2" w:rsidR="00492531" w:rsidRDefault="00492531">
          <w:pPr>
            <w:pStyle w:val="TDC5"/>
            <w:rPr>
              <w:rFonts w:asciiTheme="minorHAnsi" w:eastAsiaTheme="minorEastAsia" w:hAnsiTheme="minorHAnsi" w:cstheme="minorBidi"/>
              <w:i w:val="0"/>
              <w:noProof/>
              <w:kern w:val="2"/>
              <w:sz w:val="22"/>
              <w:lang w:val="es-CO"/>
              <w14:ligatures w14:val="standardContextual"/>
            </w:rPr>
          </w:pPr>
          <w:hyperlink w:anchor="_Toc155961569" w:history="1">
            <w:r w:rsidRPr="00D15940">
              <w:rPr>
                <w:rStyle w:val="Hipervnculo"/>
                <w:bCs/>
                <w:iCs/>
                <w:noProof/>
              </w:rPr>
              <w:t>b.</w:t>
            </w:r>
            <w:r>
              <w:rPr>
                <w:rFonts w:asciiTheme="minorHAnsi" w:eastAsiaTheme="minorEastAsia" w:hAnsiTheme="minorHAnsi" w:cstheme="minorBidi"/>
                <w:i w:val="0"/>
                <w:noProof/>
                <w:kern w:val="2"/>
                <w:sz w:val="22"/>
                <w:lang w:val="es-CO"/>
                <w14:ligatures w14:val="standardContextual"/>
              </w:rPr>
              <w:tab/>
            </w:r>
            <w:r w:rsidRPr="00D15940">
              <w:rPr>
                <w:rStyle w:val="Hipervnculo"/>
                <w:bCs/>
                <w:iCs/>
                <w:noProof/>
              </w:rPr>
              <w:t>Remisia’s restriction cannot be justified on public order</w:t>
            </w:r>
            <w:r>
              <w:rPr>
                <w:noProof/>
                <w:webHidden/>
              </w:rPr>
              <w:tab/>
            </w:r>
            <w:r>
              <w:rPr>
                <w:noProof/>
                <w:webHidden/>
              </w:rPr>
              <w:fldChar w:fldCharType="begin"/>
            </w:r>
            <w:r>
              <w:rPr>
                <w:noProof/>
                <w:webHidden/>
              </w:rPr>
              <w:instrText xml:space="preserve"> PAGEREF _Toc155961569 \h </w:instrText>
            </w:r>
            <w:r>
              <w:rPr>
                <w:noProof/>
                <w:webHidden/>
              </w:rPr>
            </w:r>
            <w:r>
              <w:rPr>
                <w:noProof/>
                <w:webHidden/>
              </w:rPr>
              <w:fldChar w:fldCharType="separate"/>
            </w:r>
            <w:r>
              <w:rPr>
                <w:noProof/>
                <w:webHidden/>
              </w:rPr>
              <w:t>17</w:t>
            </w:r>
            <w:r>
              <w:rPr>
                <w:noProof/>
                <w:webHidden/>
              </w:rPr>
              <w:fldChar w:fldCharType="end"/>
            </w:r>
          </w:hyperlink>
        </w:p>
        <w:p w14:paraId="0736D35D" w14:textId="5AAEA68D" w:rsidR="00492531" w:rsidRDefault="00492531">
          <w:pPr>
            <w:pStyle w:val="TDC5"/>
            <w:rPr>
              <w:rFonts w:asciiTheme="minorHAnsi" w:eastAsiaTheme="minorEastAsia" w:hAnsiTheme="minorHAnsi" w:cstheme="minorBidi"/>
              <w:i w:val="0"/>
              <w:noProof/>
              <w:kern w:val="2"/>
              <w:sz w:val="22"/>
              <w:lang w:val="es-CO"/>
              <w14:ligatures w14:val="standardContextual"/>
            </w:rPr>
          </w:pPr>
          <w:hyperlink w:anchor="_Toc155961570" w:history="1">
            <w:r w:rsidRPr="00D15940">
              <w:rPr>
                <w:rStyle w:val="Hipervnculo"/>
                <w:bCs/>
                <w:iCs/>
                <w:noProof/>
              </w:rPr>
              <w:t>c.</w:t>
            </w:r>
            <w:r>
              <w:rPr>
                <w:rFonts w:asciiTheme="minorHAnsi" w:eastAsiaTheme="minorEastAsia" w:hAnsiTheme="minorHAnsi" w:cstheme="minorBidi"/>
                <w:i w:val="0"/>
                <w:noProof/>
                <w:kern w:val="2"/>
                <w:sz w:val="22"/>
                <w:lang w:val="es-CO"/>
                <w14:ligatures w14:val="standardContextual"/>
              </w:rPr>
              <w:tab/>
            </w:r>
            <w:r w:rsidRPr="00D15940">
              <w:rPr>
                <w:rStyle w:val="Hipervnculo"/>
                <w:bCs/>
                <w:iCs/>
                <w:noProof/>
              </w:rPr>
              <w:t>Remisia’s restriction cannot be justified on public morals</w:t>
            </w:r>
            <w:r>
              <w:rPr>
                <w:noProof/>
                <w:webHidden/>
              </w:rPr>
              <w:tab/>
            </w:r>
            <w:r>
              <w:rPr>
                <w:noProof/>
                <w:webHidden/>
              </w:rPr>
              <w:fldChar w:fldCharType="begin"/>
            </w:r>
            <w:r>
              <w:rPr>
                <w:noProof/>
                <w:webHidden/>
              </w:rPr>
              <w:instrText xml:space="preserve"> PAGEREF _Toc155961570 \h </w:instrText>
            </w:r>
            <w:r>
              <w:rPr>
                <w:noProof/>
                <w:webHidden/>
              </w:rPr>
            </w:r>
            <w:r>
              <w:rPr>
                <w:noProof/>
                <w:webHidden/>
              </w:rPr>
              <w:fldChar w:fldCharType="separate"/>
            </w:r>
            <w:r>
              <w:rPr>
                <w:noProof/>
                <w:webHidden/>
              </w:rPr>
              <w:t>17</w:t>
            </w:r>
            <w:r>
              <w:rPr>
                <w:noProof/>
                <w:webHidden/>
              </w:rPr>
              <w:fldChar w:fldCharType="end"/>
            </w:r>
          </w:hyperlink>
        </w:p>
        <w:p w14:paraId="5D5746F6" w14:textId="5FBB9B10" w:rsidR="00492531" w:rsidRDefault="00492531">
          <w:pPr>
            <w:pStyle w:val="TDC4"/>
            <w:tabs>
              <w:tab w:val="left" w:pos="1100"/>
              <w:tab w:val="right" w:leader="dot" w:pos="9240"/>
            </w:tabs>
            <w:rPr>
              <w:rFonts w:asciiTheme="minorHAnsi" w:eastAsiaTheme="minorEastAsia" w:hAnsiTheme="minorHAnsi" w:cstheme="minorBidi"/>
              <w:noProof/>
              <w:kern w:val="2"/>
              <w:sz w:val="22"/>
              <w:lang w:val="es-CO"/>
              <w14:ligatures w14:val="standardContextual"/>
            </w:rPr>
          </w:pPr>
          <w:hyperlink w:anchor="_Toc155961571" w:history="1">
            <w:r w:rsidRPr="00D15940">
              <w:rPr>
                <w:rStyle w:val="Hipervnculo"/>
                <w:bCs/>
                <w:noProof/>
                <w:highlight w:val="white"/>
              </w:rPr>
              <w:t>2.</w:t>
            </w:r>
            <w:r>
              <w:rPr>
                <w:rFonts w:asciiTheme="minorHAnsi" w:eastAsiaTheme="minorEastAsia" w:hAnsiTheme="minorHAnsi" w:cstheme="minorBidi"/>
                <w:noProof/>
                <w:kern w:val="2"/>
                <w:sz w:val="22"/>
                <w:lang w:val="es-CO"/>
                <w14:ligatures w14:val="standardContextual"/>
              </w:rPr>
              <w:tab/>
            </w:r>
            <w:r w:rsidRPr="00D15940">
              <w:rPr>
                <w:rStyle w:val="Hipervnculo"/>
                <w:bCs/>
                <w:noProof/>
                <w:highlight w:val="white"/>
              </w:rPr>
              <w:t>Remisia’s restriction was not necessary in a democratic society</w:t>
            </w:r>
            <w:r>
              <w:rPr>
                <w:noProof/>
                <w:webHidden/>
              </w:rPr>
              <w:tab/>
            </w:r>
            <w:r>
              <w:rPr>
                <w:noProof/>
                <w:webHidden/>
              </w:rPr>
              <w:fldChar w:fldCharType="begin"/>
            </w:r>
            <w:r>
              <w:rPr>
                <w:noProof/>
                <w:webHidden/>
              </w:rPr>
              <w:instrText xml:space="preserve"> PAGEREF _Toc155961571 \h </w:instrText>
            </w:r>
            <w:r>
              <w:rPr>
                <w:noProof/>
                <w:webHidden/>
              </w:rPr>
            </w:r>
            <w:r>
              <w:rPr>
                <w:noProof/>
                <w:webHidden/>
              </w:rPr>
              <w:fldChar w:fldCharType="separate"/>
            </w:r>
            <w:r>
              <w:rPr>
                <w:noProof/>
                <w:webHidden/>
              </w:rPr>
              <w:t>18</w:t>
            </w:r>
            <w:r>
              <w:rPr>
                <w:noProof/>
                <w:webHidden/>
              </w:rPr>
              <w:fldChar w:fldCharType="end"/>
            </w:r>
          </w:hyperlink>
        </w:p>
        <w:p w14:paraId="784A43B3" w14:textId="73259AB9" w:rsidR="00492531" w:rsidRDefault="00492531">
          <w:pPr>
            <w:pStyle w:val="TDC3"/>
            <w:tabs>
              <w:tab w:val="left" w:pos="1100"/>
              <w:tab w:val="right" w:leader="dot" w:pos="9240"/>
            </w:tabs>
            <w:rPr>
              <w:rFonts w:asciiTheme="minorHAnsi" w:eastAsiaTheme="minorEastAsia" w:hAnsiTheme="minorHAnsi" w:cstheme="minorBidi"/>
              <w:b w:val="0"/>
              <w:noProof/>
              <w:kern w:val="2"/>
              <w:sz w:val="22"/>
              <w:lang w:val="es-CO"/>
              <w14:ligatures w14:val="standardContextual"/>
            </w:rPr>
          </w:pPr>
          <w:hyperlink w:anchor="_Toc155961572" w:history="1">
            <w:r w:rsidRPr="00D15940">
              <w:rPr>
                <w:rStyle w:val="Hipervnculo"/>
                <w:noProof/>
                <w:highlight w:val="white"/>
              </w:rPr>
              <w:t>C.</w:t>
            </w:r>
            <w:r>
              <w:rPr>
                <w:rFonts w:asciiTheme="minorHAnsi" w:eastAsiaTheme="minorEastAsia" w:hAnsiTheme="minorHAnsi" w:cstheme="minorBidi"/>
                <w:b w:val="0"/>
                <w:noProof/>
                <w:kern w:val="2"/>
                <w:sz w:val="22"/>
                <w:lang w:val="es-CO"/>
                <w14:ligatures w14:val="standardContextual"/>
              </w:rPr>
              <w:tab/>
            </w:r>
            <w:r w:rsidRPr="00D15940">
              <w:rPr>
                <w:rStyle w:val="Hipervnculo"/>
                <w:noProof/>
                <w:highlight w:val="white"/>
              </w:rPr>
              <w:t>This Court can and should order the restitution of the Sterren Forty’s Remisian nationality</w:t>
            </w:r>
            <w:r>
              <w:rPr>
                <w:noProof/>
                <w:webHidden/>
              </w:rPr>
              <w:tab/>
            </w:r>
            <w:r>
              <w:rPr>
                <w:noProof/>
                <w:webHidden/>
              </w:rPr>
              <w:fldChar w:fldCharType="begin"/>
            </w:r>
            <w:r>
              <w:rPr>
                <w:noProof/>
                <w:webHidden/>
              </w:rPr>
              <w:instrText xml:space="preserve"> PAGEREF _Toc155961572 \h </w:instrText>
            </w:r>
            <w:r>
              <w:rPr>
                <w:noProof/>
                <w:webHidden/>
              </w:rPr>
            </w:r>
            <w:r>
              <w:rPr>
                <w:noProof/>
                <w:webHidden/>
              </w:rPr>
              <w:fldChar w:fldCharType="separate"/>
            </w:r>
            <w:r>
              <w:rPr>
                <w:noProof/>
                <w:webHidden/>
              </w:rPr>
              <w:t>20</w:t>
            </w:r>
            <w:r>
              <w:rPr>
                <w:noProof/>
                <w:webHidden/>
              </w:rPr>
              <w:fldChar w:fldCharType="end"/>
            </w:r>
          </w:hyperlink>
        </w:p>
        <w:p w14:paraId="54141F4A" w14:textId="2483D7F9" w:rsidR="00492531" w:rsidRDefault="00492531">
          <w:pPr>
            <w:pStyle w:val="TDC2"/>
            <w:tabs>
              <w:tab w:val="right" w:leader="dot" w:pos="9240"/>
            </w:tabs>
            <w:rPr>
              <w:rFonts w:asciiTheme="minorHAnsi" w:eastAsiaTheme="minorEastAsia" w:hAnsiTheme="minorHAnsi" w:cstheme="minorBidi"/>
              <w:b w:val="0"/>
              <w:noProof/>
              <w:kern w:val="2"/>
              <w:sz w:val="22"/>
              <w:lang w:val="es-CO"/>
              <w14:ligatures w14:val="standardContextual"/>
            </w:rPr>
          </w:pPr>
          <w:hyperlink w:anchor="_Toc155961573" w:history="1">
            <w:r w:rsidRPr="00D15940">
              <w:rPr>
                <w:rStyle w:val="Hipervnculo"/>
                <w:noProof/>
                <w:highlight w:val="white"/>
              </w:rPr>
              <w:t>III. ANTRANO DID NOT VIOLATE INTERNATIONAL LAW WHEN IT REFUSED TO PROVIDE REMISIA CONSULAR ACCESS TO MS. SAKI SHAW DURING HER TIME AS A PRISONER IN ANTRANO</w:t>
            </w:r>
            <w:r>
              <w:rPr>
                <w:noProof/>
                <w:webHidden/>
              </w:rPr>
              <w:tab/>
            </w:r>
            <w:r>
              <w:rPr>
                <w:noProof/>
                <w:webHidden/>
              </w:rPr>
              <w:fldChar w:fldCharType="begin"/>
            </w:r>
            <w:r>
              <w:rPr>
                <w:noProof/>
                <w:webHidden/>
              </w:rPr>
              <w:instrText xml:space="preserve"> PAGEREF _Toc155961573 \h </w:instrText>
            </w:r>
            <w:r>
              <w:rPr>
                <w:noProof/>
                <w:webHidden/>
              </w:rPr>
            </w:r>
            <w:r>
              <w:rPr>
                <w:noProof/>
                <w:webHidden/>
              </w:rPr>
              <w:fldChar w:fldCharType="separate"/>
            </w:r>
            <w:r>
              <w:rPr>
                <w:noProof/>
                <w:webHidden/>
              </w:rPr>
              <w:t>21</w:t>
            </w:r>
            <w:r>
              <w:rPr>
                <w:noProof/>
                <w:webHidden/>
              </w:rPr>
              <w:fldChar w:fldCharType="end"/>
            </w:r>
          </w:hyperlink>
        </w:p>
        <w:p w14:paraId="23013E10" w14:textId="06893924" w:rsidR="00492531" w:rsidRDefault="00492531">
          <w:pPr>
            <w:pStyle w:val="TDC3"/>
            <w:tabs>
              <w:tab w:val="left" w:pos="1100"/>
              <w:tab w:val="right" w:leader="dot" w:pos="9240"/>
            </w:tabs>
            <w:rPr>
              <w:rFonts w:asciiTheme="minorHAnsi" w:eastAsiaTheme="minorEastAsia" w:hAnsiTheme="minorHAnsi" w:cstheme="minorBidi"/>
              <w:b w:val="0"/>
              <w:noProof/>
              <w:kern w:val="2"/>
              <w:sz w:val="22"/>
              <w:lang w:val="es-CO"/>
              <w14:ligatures w14:val="standardContextual"/>
            </w:rPr>
          </w:pPr>
          <w:hyperlink w:anchor="_Toc155961574" w:history="1">
            <w:r w:rsidRPr="00D15940">
              <w:rPr>
                <w:rStyle w:val="Hipervnculo"/>
                <w:noProof/>
              </w:rPr>
              <w:t>A.</w:t>
            </w:r>
            <w:r>
              <w:rPr>
                <w:rFonts w:asciiTheme="minorHAnsi" w:eastAsiaTheme="minorEastAsia" w:hAnsiTheme="minorHAnsi" w:cstheme="minorBidi"/>
                <w:b w:val="0"/>
                <w:noProof/>
                <w:kern w:val="2"/>
                <w:sz w:val="22"/>
                <w:lang w:val="es-CO"/>
                <w14:ligatures w14:val="standardContextual"/>
              </w:rPr>
              <w:tab/>
            </w:r>
            <w:r w:rsidRPr="00D15940">
              <w:rPr>
                <w:rStyle w:val="Hipervnculo"/>
                <w:noProof/>
              </w:rPr>
              <w:t>Antrano is not obliged to recognize Ms. Shaw’s Remisian nationality</w:t>
            </w:r>
            <w:r>
              <w:rPr>
                <w:noProof/>
                <w:webHidden/>
              </w:rPr>
              <w:tab/>
            </w:r>
            <w:r>
              <w:rPr>
                <w:noProof/>
                <w:webHidden/>
              </w:rPr>
              <w:fldChar w:fldCharType="begin"/>
            </w:r>
            <w:r>
              <w:rPr>
                <w:noProof/>
                <w:webHidden/>
              </w:rPr>
              <w:instrText xml:space="preserve"> PAGEREF _Toc155961574 \h </w:instrText>
            </w:r>
            <w:r>
              <w:rPr>
                <w:noProof/>
                <w:webHidden/>
              </w:rPr>
            </w:r>
            <w:r>
              <w:rPr>
                <w:noProof/>
                <w:webHidden/>
              </w:rPr>
              <w:fldChar w:fldCharType="separate"/>
            </w:r>
            <w:r>
              <w:rPr>
                <w:noProof/>
                <w:webHidden/>
              </w:rPr>
              <w:t>21</w:t>
            </w:r>
            <w:r>
              <w:rPr>
                <w:noProof/>
                <w:webHidden/>
              </w:rPr>
              <w:fldChar w:fldCharType="end"/>
            </w:r>
          </w:hyperlink>
        </w:p>
        <w:p w14:paraId="01B6C009" w14:textId="5A7BF4E0" w:rsidR="00492531" w:rsidRDefault="00492531">
          <w:pPr>
            <w:pStyle w:val="TDC4"/>
            <w:tabs>
              <w:tab w:val="left" w:pos="1100"/>
              <w:tab w:val="right" w:leader="dot" w:pos="9240"/>
            </w:tabs>
            <w:rPr>
              <w:rFonts w:asciiTheme="minorHAnsi" w:eastAsiaTheme="minorEastAsia" w:hAnsiTheme="minorHAnsi" w:cstheme="minorBidi"/>
              <w:noProof/>
              <w:kern w:val="2"/>
              <w:sz w:val="22"/>
              <w:lang w:val="es-CO"/>
              <w14:ligatures w14:val="standardContextual"/>
            </w:rPr>
          </w:pPr>
          <w:hyperlink w:anchor="_Toc155961575" w:history="1">
            <w:r w:rsidRPr="00D15940">
              <w:rPr>
                <w:rStyle w:val="Hipervnculo"/>
                <w:bCs/>
                <w:noProof/>
              </w:rPr>
              <w:t>1.</w:t>
            </w:r>
            <w:r>
              <w:rPr>
                <w:rFonts w:asciiTheme="minorHAnsi" w:eastAsiaTheme="minorEastAsia" w:hAnsiTheme="minorHAnsi" w:cstheme="minorBidi"/>
                <w:noProof/>
                <w:kern w:val="2"/>
                <w:sz w:val="22"/>
                <w:lang w:val="es-CO"/>
                <w14:ligatures w14:val="standardContextual"/>
              </w:rPr>
              <w:tab/>
            </w:r>
            <w:r w:rsidRPr="00D15940">
              <w:rPr>
                <w:rStyle w:val="Hipervnculo"/>
                <w:bCs/>
                <w:noProof/>
              </w:rPr>
              <w:t>The Naturalization by Investment Act is not supported by customary international law</w:t>
            </w:r>
            <w:r>
              <w:rPr>
                <w:rStyle w:val="Hipervnculo"/>
                <w:bCs/>
                <w:noProof/>
              </w:rPr>
              <w:t>.....................................................................................................................................</w:t>
            </w:r>
            <w:r>
              <w:rPr>
                <w:noProof/>
                <w:webHidden/>
              </w:rPr>
              <w:fldChar w:fldCharType="begin"/>
            </w:r>
            <w:r>
              <w:rPr>
                <w:noProof/>
                <w:webHidden/>
              </w:rPr>
              <w:instrText xml:space="preserve"> PAGEREF _Toc155961575 \h </w:instrText>
            </w:r>
            <w:r>
              <w:rPr>
                <w:noProof/>
                <w:webHidden/>
              </w:rPr>
            </w:r>
            <w:r>
              <w:rPr>
                <w:noProof/>
                <w:webHidden/>
              </w:rPr>
              <w:fldChar w:fldCharType="separate"/>
            </w:r>
            <w:r>
              <w:rPr>
                <w:noProof/>
                <w:webHidden/>
              </w:rPr>
              <w:t>22</w:t>
            </w:r>
            <w:r>
              <w:rPr>
                <w:noProof/>
                <w:webHidden/>
              </w:rPr>
              <w:fldChar w:fldCharType="end"/>
            </w:r>
          </w:hyperlink>
        </w:p>
        <w:p w14:paraId="5AF1D30A" w14:textId="474452A7" w:rsidR="00492531" w:rsidRDefault="00492531">
          <w:pPr>
            <w:pStyle w:val="TDC4"/>
            <w:tabs>
              <w:tab w:val="left" w:pos="1100"/>
              <w:tab w:val="right" w:leader="dot" w:pos="9240"/>
            </w:tabs>
            <w:rPr>
              <w:rFonts w:asciiTheme="minorHAnsi" w:eastAsiaTheme="minorEastAsia" w:hAnsiTheme="minorHAnsi" w:cstheme="minorBidi"/>
              <w:noProof/>
              <w:kern w:val="2"/>
              <w:sz w:val="22"/>
              <w:lang w:val="es-CO"/>
              <w14:ligatures w14:val="standardContextual"/>
            </w:rPr>
          </w:pPr>
          <w:hyperlink w:anchor="_Toc155961576" w:history="1">
            <w:r w:rsidRPr="00D15940">
              <w:rPr>
                <w:rStyle w:val="Hipervnculo"/>
                <w:bCs/>
                <w:noProof/>
              </w:rPr>
              <w:t>2.</w:t>
            </w:r>
            <w:r>
              <w:rPr>
                <w:rFonts w:asciiTheme="minorHAnsi" w:eastAsiaTheme="minorEastAsia" w:hAnsiTheme="minorHAnsi" w:cstheme="minorBidi"/>
                <w:noProof/>
                <w:kern w:val="2"/>
                <w:sz w:val="22"/>
                <w:lang w:val="es-CO"/>
                <w14:ligatures w14:val="standardContextual"/>
              </w:rPr>
              <w:tab/>
            </w:r>
            <w:r w:rsidRPr="00D15940">
              <w:rPr>
                <w:rStyle w:val="Hipervnculo"/>
                <w:bCs/>
                <w:noProof/>
              </w:rPr>
              <w:t>Antrano is not obliged to recognize Ms. Shaw’s Remisian nationality based on the genuine link principle</w:t>
            </w:r>
            <w:r>
              <w:rPr>
                <w:noProof/>
                <w:webHidden/>
              </w:rPr>
              <w:tab/>
            </w:r>
            <w:r>
              <w:rPr>
                <w:noProof/>
                <w:webHidden/>
              </w:rPr>
              <w:fldChar w:fldCharType="begin"/>
            </w:r>
            <w:r>
              <w:rPr>
                <w:noProof/>
                <w:webHidden/>
              </w:rPr>
              <w:instrText xml:space="preserve"> PAGEREF _Toc155961576 \h </w:instrText>
            </w:r>
            <w:r>
              <w:rPr>
                <w:noProof/>
                <w:webHidden/>
              </w:rPr>
            </w:r>
            <w:r>
              <w:rPr>
                <w:noProof/>
                <w:webHidden/>
              </w:rPr>
              <w:fldChar w:fldCharType="separate"/>
            </w:r>
            <w:r>
              <w:rPr>
                <w:noProof/>
                <w:webHidden/>
              </w:rPr>
              <w:t>23</w:t>
            </w:r>
            <w:r>
              <w:rPr>
                <w:noProof/>
                <w:webHidden/>
              </w:rPr>
              <w:fldChar w:fldCharType="end"/>
            </w:r>
          </w:hyperlink>
        </w:p>
        <w:p w14:paraId="0A3A0233" w14:textId="5B938FB4" w:rsidR="00492531" w:rsidRDefault="00492531">
          <w:pPr>
            <w:pStyle w:val="TDC5"/>
            <w:rPr>
              <w:rFonts w:asciiTheme="minorHAnsi" w:eastAsiaTheme="minorEastAsia" w:hAnsiTheme="minorHAnsi" w:cstheme="minorBidi"/>
              <w:i w:val="0"/>
              <w:noProof/>
              <w:kern w:val="2"/>
              <w:sz w:val="22"/>
              <w:lang w:val="es-CO"/>
              <w14:ligatures w14:val="standardContextual"/>
            </w:rPr>
          </w:pPr>
          <w:hyperlink w:anchor="_Toc155961577" w:history="1">
            <w:r w:rsidRPr="00D15940">
              <w:rPr>
                <w:rStyle w:val="Hipervnculo"/>
                <w:bCs/>
                <w:iCs/>
                <w:noProof/>
              </w:rPr>
              <w:t>a.</w:t>
            </w:r>
            <w:r>
              <w:rPr>
                <w:rFonts w:asciiTheme="minorHAnsi" w:eastAsiaTheme="minorEastAsia" w:hAnsiTheme="minorHAnsi" w:cstheme="minorBidi"/>
                <w:i w:val="0"/>
                <w:noProof/>
                <w:kern w:val="2"/>
                <w:sz w:val="22"/>
                <w:lang w:val="es-CO"/>
                <w14:ligatures w14:val="standardContextual"/>
              </w:rPr>
              <w:tab/>
            </w:r>
            <w:r w:rsidRPr="00D15940">
              <w:rPr>
                <w:rStyle w:val="Hipervnculo"/>
                <w:bCs/>
                <w:iCs/>
                <w:noProof/>
              </w:rPr>
              <w:t>The genuine link principle is applicable to Ms. Shaw’s case</w:t>
            </w:r>
            <w:r>
              <w:rPr>
                <w:noProof/>
                <w:webHidden/>
              </w:rPr>
              <w:tab/>
            </w:r>
            <w:r>
              <w:rPr>
                <w:noProof/>
                <w:webHidden/>
              </w:rPr>
              <w:fldChar w:fldCharType="begin"/>
            </w:r>
            <w:r>
              <w:rPr>
                <w:noProof/>
                <w:webHidden/>
              </w:rPr>
              <w:instrText xml:space="preserve"> PAGEREF _Toc155961577 \h </w:instrText>
            </w:r>
            <w:r>
              <w:rPr>
                <w:noProof/>
                <w:webHidden/>
              </w:rPr>
            </w:r>
            <w:r>
              <w:rPr>
                <w:noProof/>
                <w:webHidden/>
              </w:rPr>
              <w:fldChar w:fldCharType="separate"/>
            </w:r>
            <w:r>
              <w:rPr>
                <w:noProof/>
                <w:webHidden/>
              </w:rPr>
              <w:t>23</w:t>
            </w:r>
            <w:r>
              <w:rPr>
                <w:noProof/>
                <w:webHidden/>
              </w:rPr>
              <w:fldChar w:fldCharType="end"/>
            </w:r>
          </w:hyperlink>
        </w:p>
        <w:p w14:paraId="6E7327A8" w14:textId="4F06FEFC" w:rsidR="00492531" w:rsidRDefault="00492531">
          <w:pPr>
            <w:pStyle w:val="TDC5"/>
            <w:rPr>
              <w:rFonts w:asciiTheme="minorHAnsi" w:eastAsiaTheme="minorEastAsia" w:hAnsiTheme="minorHAnsi" w:cstheme="minorBidi"/>
              <w:i w:val="0"/>
              <w:noProof/>
              <w:kern w:val="2"/>
              <w:sz w:val="22"/>
              <w:lang w:val="es-CO"/>
              <w14:ligatures w14:val="standardContextual"/>
            </w:rPr>
          </w:pPr>
          <w:hyperlink w:anchor="_Toc155961578" w:history="1">
            <w:r w:rsidRPr="00D15940">
              <w:rPr>
                <w:rStyle w:val="Hipervnculo"/>
                <w:bCs/>
                <w:iCs/>
                <w:noProof/>
              </w:rPr>
              <w:t>b.</w:t>
            </w:r>
            <w:r>
              <w:rPr>
                <w:rFonts w:asciiTheme="minorHAnsi" w:eastAsiaTheme="minorEastAsia" w:hAnsiTheme="minorHAnsi" w:cstheme="minorBidi"/>
                <w:i w:val="0"/>
                <w:noProof/>
                <w:kern w:val="2"/>
                <w:sz w:val="22"/>
                <w:lang w:val="es-CO"/>
                <w14:ligatures w14:val="standardContextual"/>
              </w:rPr>
              <w:tab/>
            </w:r>
            <w:r w:rsidRPr="00D15940">
              <w:rPr>
                <w:rStyle w:val="Hipervnculo"/>
                <w:bCs/>
                <w:iCs/>
                <w:noProof/>
              </w:rPr>
              <w:t>Molvania is the State of Ms. Shaw’s effective nationality</w:t>
            </w:r>
            <w:r>
              <w:rPr>
                <w:noProof/>
                <w:webHidden/>
              </w:rPr>
              <w:tab/>
            </w:r>
            <w:r>
              <w:rPr>
                <w:noProof/>
                <w:webHidden/>
              </w:rPr>
              <w:fldChar w:fldCharType="begin"/>
            </w:r>
            <w:r>
              <w:rPr>
                <w:noProof/>
                <w:webHidden/>
              </w:rPr>
              <w:instrText xml:space="preserve"> PAGEREF _Toc155961578 \h </w:instrText>
            </w:r>
            <w:r>
              <w:rPr>
                <w:noProof/>
                <w:webHidden/>
              </w:rPr>
            </w:r>
            <w:r>
              <w:rPr>
                <w:noProof/>
                <w:webHidden/>
              </w:rPr>
              <w:fldChar w:fldCharType="separate"/>
            </w:r>
            <w:r>
              <w:rPr>
                <w:noProof/>
                <w:webHidden/>
              </w:rPr>
              <w:t>24</w:t>
            </w:r>
            <w:r>
              <w:rPr>
                <w:noProof/>
                <w:webHidden/>
              </w:rPr>
              <w:fldChar w:fldCharType="end"/>
            </w:r>
          </w:hyperlink>
        </w:p>
        <w:p w14:paraId="52C53CA9" w14:textId="39D1EB5E" w:rsidR="00492531" w:rsidRDefault="00492531">
          <w:pPr>
            <w:pStyle w:val="TDC3"/>
            <w:tabs>
              <w:tab w:val="left" w:pos="1100"/>
              <w:tab w:val="right" w:leader="dot" w:pos="9240"/>
            </w:tabs>
            <w:rPr>
              <w:rFonts w:asciiTheme="minorHAnsi" w:eastAsiaTheme="minorEastAsia" w:hAnsiTheme="minorHAnsi" w:cstheme="minorBidi"/>
              <w:b w:val="0"/>
              <w:noProof/>
              <w:kern w:val="2"/>
              <w:sz w:val="22"/>
              <w:lang w:val="es-CO"/>
              <w14:ligatures w14:val="standardContextual"/>
            </w:rPr>
          </w:pPr>
          <w:hyperlink w:anchor="_Toc155961579" w:history="1">
            <w:r w:rsidRPr="00D15940">
              <w:rPr>
                <w:rStyle w:val="Hipervnculo"/>
                <w:noProof/>
              </w:rPr>
              <w:t>B.</w:t>
            </w:r>
            <w:r>
              <w:rPr>
                <w:rFonts w:asciiTheme="minorHAnsi" w:eastAsiaTheme="minorEastAsia" w:hAnsiTheme="minorHAnsi" w:cstheme="minorBidi"/>
                <w:b w:val="0"/>
                <w:noProof/>
                <w:kern w:val="2"/>
                <w:sz w:val="22"/>
                <w:lang w:val="es-CO"/>
                <w14:ligatures w14:val="standardContextual"/>
              </w:rPr>
              <w:tab/>
            </w:r>
            <w:r w:rsidRPr="00D15940">
              <w:rPr>
                <w:rStyle w:val="Hipervnculo"/>
                <w:noProof/>
              </w:rPr>
              <w:t>Antrano complied with its obligations under Article 36 of the VCCR</w:t>
            </w:r>
            <w:r>
              <w:rPr>
                <w:noProof/>
                <w:webHidden/>
              </w:rPr>
              <w:tab/>
            </w:r>
            <w:r>
              <w:rPr>
                <w:noProof/>
                <w:webHidden/>
              </w:rPr>
              <w:fldChar w:fldCharType="begin"/>
            </w:r>
            <w:r>
              <w:rPr>
                <w:noProof/>
                <w:webHidden/>
              </w:rPr>
              <w:instrText xml:space="preserve"> PAGEREF _Toc155961579 \h </w:instrText>
            </w:r>
            <w:r>
              <w:rPr>
                <w:noProof/>
                <w:webHidden/>
              </w:rPr>
            </w:r>
            <w:r>
              <w:rPr>
                <w:noProof/>
                <w:webHidden/>
              </w:rPr>
              <w:fldChar w:fldCharType="separate"/>
            </w:r>
            <w:r>
              <w:rPr>
                <w:noProof/>
                <w:webHidden/>
              </w:rPr>
              <w:t>25</w:t>
            </w:r>
            <w:r>
              <w:rPr>
                <w:noProof/>
                <w:webHidden/>
              </w:rPr>
              <w:fldChar w:fldCharType="end"/>
            </w:r>
          </w:hyperlink>
        </w:p>
        <w:p w14:paraId="73B4F722" w14:textId="28949F37" w:rsidR="00492531" w:rsidRDefault="00492531">
          <w:pPr>
            <w:pStyle w:val="TDC4"/>
            <w:tabs>
              <w:tab w:val="left" w:pos="1100"/>
              <w:tab w:val="right" w:leader="dot" w:pos="9240"/>
            </w:tabs>
            <w:rPr>
              <w:rFonts w:asciiTheme="minorHAnsi" w:eastAsiaTheme="minorEastAsia" w:hAnsiTheme="minorHAnsi" w:cstheme="minorBidi"/>
              <w:noProof/>
              <w:kern w:val="2"/>
              <w:sz w:val="22"/>
              <w:lang w:val="es-CO"/>
              <w14:ligatures w14:val="standardContextual"/>
            </w:rPr>
          </w:pPr>
          <w:hyperlink w:anchor="_Toc155961580" w:history="1">
            <w:r w:rsidRPr="00D15940">
              <w:rPr>
                <w:rStyle w:val="Hipervnculo"/>
                <w:bCs/>
                <w:noProof/>
              </w:rPr>
              <w:t>1.</w:t>
            </w:r>
            <w:r>
              <w:rPr>
                <w:rFonts w:asciiTheme="minorHAnsi" w:eastAsiaTheme="minorEastAsia" w:hAnsiTheme="minorHAnsi" w:cstheme="minorBidi"/>
                <w:noProof/>
                <w:kern w:val="2"/>
                <w:sz w:val="22"/>
                <w:lang w:val="es-CO"/>
                <w14:ligatures w14:val="standardContextual"/>
              </w:rPr>
              <w:tab/>
            </w:r>
            <w:r w:rsidRPr="00D15940">
              <w:rPr>
                <w:rStyle w:val="Hipervnculo"/>
                <w:bCs/>
                <w:noProof/>
              </w:rPr>
              <w:t>Remisia does not have the right to bring consular assistance to Ms. Shaw</w:t>
            </w:r>
            <w:r>
              <w:rPr>
                <w:noProof/>
                <w:webHidden/>
              </w:rPr>
              <w:tab/>
            </w:r>
            <w:r>
              <w:rPr>
                <w:noProof/>
                <w:webHidden/>
              </w:rPr>
              <w:fldChar w:fldCharType="begin"/>
            </w:r>
            <w:r>
              <w:rPr>
                <w:noProof/>
                <w:webHidden/>
              </w:rPr>
              <w:instrText xml:space="preserve"> PAGEREF _Toc155961580 \h </w:instrText>
            </w:r>
            <w:r>
              <w:rPr>
                <w:noProof/>
                <w:webHidden/>
              </w:rPr>
            </w:r>
            <w:r>
              <w:rPr>
                <w:noProof/>
                <w:webHidden/>
              </w:rPr>
              <w:fldChar w:fldCharType="separate"/>
            </w:r>
            <w:r>
              <w:rPr>
                <w:noProof/>
                <w:webHidden/>
              </w:rPr>
              <w:t>26</w:t>
            </w:r>
            <w:r>
              <w:rPr>
                <w:noProof/>
                <w:webHidden/>
              </w:rPr>
              <w:fldChar w:fldCharType="end"/>
            </w:r>
          </w:hyperlink>
        </w:p>
        <w:p w14:paraId="0079C818" w14:textId="07A1303B" w:rsidR="00492531" w:rsidRDefault="00492531">
          <w:pPr>
            <w:pStyle w:val="TDC4"/>
            <w:tabs>
              <w:tab w:val="left" w:pos="1100"/>
              <w:tab w:val="right" w:leader="dot" w:pos="9240"/>
            </w:tabs>
            <w:rPr>
              <w:rFonts w:asciiTheme="minorHAnsi" w:eastAsiaTheme="minorEastAsia" w:hAnsiTheme="minorHAnsi" w:cstheme="minorBidi"/>
              <w:noProof/>
              <w:kern w:val="2"/>
              <w:sz w:val="22"/>
              <w:lang w:val="es-CO"/>
              <w14:ligatures w14:val="standardContextual"/>
            </w:rPr>
          </w:pPr>
          <w:hyperlink w:anchor="_Toc155961581" w:history="1">
            <w:r w:rsidRPr="00D15940">
              <w:rPr>
                <w:rStyle w:val="Hipervnculo"/>
                <w:bCs/>
                <w:noProof/>
              </w:rPr>
              <w:t>2.</w:t>
            </w:r>
            <w:r>
              <w:rPr>
                <w:rFonts w:asciiTheme="minorHAnsi" w:eastAsiaTheme="minorEastAsia" w:hAnsiTheme="minorHAnsi" w:cstheme="minorBidi"/>
                <w:noProof/>
                <w:kern w:val="2"/>
                <w:sz w:val="22"/>
                <w:lang w:val="es-CO"/>
                <w14:ligatures w14:val="standardContextual"/>
              </w:rPr>
              <w:tab/>
            </w:r>
            <w:r w:rsidRPr="00D15940">
              <w:rPr>
                <w:rStyle w:val="Hipervnculo"/>
                <w:bCs/>
                <w:noProof/>
              </w:rPr>
              <w:t>Antrano guaranteed Ms. Shaw’s rights under the VCCR</w:t>
            </w:r>
            <w:r>
              <w:rPr>
                <w:noProof/>
                <w:webHidden/>
              </w:rPr>
              <w:tab/>
            </w:r>
            <w:r>
              <w:rPr>
                <w:noProof/>
                <w:webHidden/>
              </w:rPr>
              <w:fldChar w:fldCharType="begin"/>
            </w:r>
            <w:r>
              <w:rPr>
                <w:noProof/>
                <w:webHidden/>
              </w:rPr>
              <w:instrText xml:space="preserve"> PAGEREF _Toc155961581 \h </w:instrText>
            </w:r>
            <w:r>
              <w:rPr>
                <w:noProof/>
                <w:webHidden/>
              </w:rPr>
            </w:r>
            <w:r>
              <w:rPr>
                <w:noProof/>
                <w:webHidden/>
              </w:rPr>
              <w:fldChar w:fldCharType="separate"/>
            </w:r>
            <w:r>
              <w:rPr>
                <w:noProof/>
                <w:webHidden/>
              </w:rPr>
              <w:t>26</w:t>
            </w:r>
            <w:r>
              <w:rPr>
                <w:noProof/>
                <w:webHidden/>
              </w:rPr>
              <w:fldChar w:fldCharType="end"/>
            </w:r>
          </w:hyperlink>
        </w:p>
        <w:p w14:paraId="5AFDF431" w14:textId="38686A1C" w:rsidR="00492531" w:rsidRDefault="00492531">
          <w:pPr>
            <w:pStyle w:val="TDC4"/>
            <w:tabs>
              <w:tab w:val="left" w:pos="1100"/>
              <w:tab w:val="right" w:leader="dot" w:pos="9240"/>
            </w:tabs>
            <w:rPr>
              <w:rFonts w:asciiTheme="minorHAnsi" w:eastAsiaTheme="minorEastAsia" w:hAnsiTheme="minorHAnsi" w:cstheme="minorBidi"/>
              <w:noProof/>
              <w:kern w:val="2"/>
              <w:sz w:val="22"/>
              <w:lang w:val="es-CO"/>
              <w14:ligatures w14:val="standardContextual"/>
            </w:rPr>
          </w:pPr>
          <w:hyperlink w:anchor="_Toc155961582" w:history="1">
            <w:r w:rsidRPr="00D15940">
              <w:rPr>
                <w:rStyle w:val="Hipervnculo"/>
                <w:bCs/>
                <w:noProof/>
              </w:rPr>
              <w:t>3.</w:t>
            </w:r>
            <w:r>
              <w:rPr>
                <w:rFonts w:asciiTheme="minorHAnsi" w:eastAsiaTheme="minorEastAsia" w:hAnsiTheme="minorHAnsi" w:cstheme="minorBidi"/>
                <w:noProof/>
                <w:kern w:val="2"/>
                <w:sz w:val="22"/>
                <w:lang w:val="es-CO"/>
                <w14:ligatures w14:val="standardContextual"/>
              </w:rPr>
              <w:tab/>
            </w:r>
            <w:r w:rsidRPr="00D15940">
              <w:rPr>
                <w:rStyle w:val="Hipervnculo"/>
                <w:bCs/>
                <w:noProof/>
              </w:rPr>
              <w:t>Antrano’s law on non-recognition of purchased citizenship did not nullify the purpose of her rights pursuant to Article 36(2) of the treaty</w:t>
            </w:r>
            <w:r>
              <w:rPr>
                <w:noProof/>
                <w:webHidden/>
              </w:rPr>
              <w:tab/>
            </w:r>
            <w:r>
              <w:rPr>
                <w:noProof/>
                <w:webHidden/>
              </w:rPr>
              <w:fldChar w:fldCharType="begin"/>
            </w:r>
            <w:r>
              <w:rPr>
                <w:noProof/>
                <w:webHidden/>
              </w:rPr>
              <w:instrText xml:space="preserve"> PAGEREF _Toc155961582 \h </w:instrText>
            </w:r>
            <w:r>
              <w:rPr>
                <w:noProof/>
                <w:webHidden/>
              </w:rPr>
            </w:r>
            <w:r>
              <w:rPr>
                <w:noProof/>
                <w:webHidden/>
              </w:rPr>
              <w:fldChar w:fldCharType="separate"/>
            </w:r>
            <w:r>
              <w:rPr>
                <w:noProof/>
                <w:webHidden/>
              </w:rPr>
              <w:t>27</w:t>
            </w:r>
            <w:r>
              <w:rPr>
                <w:noProof/>
                <w:webHidden/>
              </w:rPr>
              <w:fldChar w:fldCharType="end"/>
            </w:r>
          </w:hyperlink>
        </w:p>
        <w:p w14:paraId="5B8DF3D6" w14:textId="717823A9" w:rsidR="00492531" w:rsidRDefault="00492531">
          <w:pPr>
            <w:pStyle w:val="TDC2"/>
            <w:tabs>
              <w:tab w:val="right" w:leader="dot" w:pos="9240"/>
            </w:tabs>
            <w:rPr>
              <w:rFonts w:asciiTheme="minorHAnsi" w:eastAsiaTheme="minorEastAsia" w:hAnsiTheme="minorHAnsi" w:cstheme="minorBidi"/>
              <w:b w:val="0"/>
              <w:noProof/>
              <w:kern w:val="2"/>
              <w:sz w:val="22"/>
              <w:lang w:val="es-CO"/>
              <w14:ligatures w14:val="standardContextual"/>
            </w:rPr>
          </w:pPr>
          <w:hyperlink w:anchor="_Toc155961583" w:history="1">
            <w:r w:rsidRPr="00D15940">
              <w:rPr>
                <w:rStyle w:val="Hipervnculo"/>
                <w:noProof/>
                <w:highlight w:val="white"/>
              </w:rPr>
              <w:t>IV. REMISIA VIOLATED INTERNATIONAL LAW BY DENYING ANTRANAN NATIONAL DR. TULOUS MALEX ENTRY TO REMISIA AS REQUIRED BY SECURITY COUNCIL RESOLUTION 99997</w:t>
            </w:r>
            <w:r>
              <w:rPr>
                <w:noProof/>
                <w:webHidden/>
              </w:rPr>
              <w:tab/>
            </w:r>
            <w:r>
              <w:rPr>
                <w:noProof/>
                <w:webHidden/>
              </w:rPr>
              <w:fldChar w:fldCharType="begin"/>
            </w:r>
            <w:r>
              <w:rPr>
                <w:noProof/>
                <w:webHidden/>
              </w:rPr>
              <w:instrText xml:space="preserve"> PAGEREF _Toc155961583 \h </w:instrText>
            </w:r>
            <w:r>
              <w:rPr>
                <w:noProof/>
                <w:webHidden/>
              </w:rPr>
            </w:r>
            <w:r>
              <w:rPr>
                <w:noProof/>
                <w:webHidden/>
              </w:rPr>
              <w:fldChar w:fldCharType="separate"/>
            </w:r>
            <w:r>
              <w:rPr>
                <w:noProof/>
                <w:webHidden/>
              </w:rPr>
              <w:t>29</w:t>
            </w:r>
            <w:r>
              <w:rPr>
                <w:noProof/>
                <w:webHidden/>
              </w:rPr>
              <w:fldChar w:fldCharType="end"/>
            </w:r>
          </w:hyperlink>
        </w:p>
        <w:p w14:paraId="6FD03D98" w14:textId="7B7225E7" w:rsidR="00492531" w:rsidRDefault="00492531">
          <w:pPr>
            <w:pStyle w:val="TDC3"/>
            <w:tabs>
              <w:tab w:val="left" w:pos="1100"/>
              <w:tab w:val="right" w:leader="dot" w:pos="9240"/>
            </w:tabs>
            <w:rPr>
              <w:rFonts w:asciiTheme="minorHAnsi" w:eastAsiaTheme="minorEastAsia" w:hAnsiTheme="minorHAnsi" w:cstheme="minorBidi"/>
              <w:b w:val="0"/>
              <w:noProof/>
              <w:kern w:val="2"/>
              <w:sz w:val="22"/>
              <w:lang w:val="es-CO"/>
              <w14:ligatures w14:val="standardContextual"/>
            </w:rPr>
          </w:pPr>
          <w:hyperlink w:anchor="_Toc155961584" w:history="1">
            <w:r w:rsidRPr="00D15940">
              <w:rPr>
                <w:rStyle w:val="Hipervnculo"/>
                <w:noProof/>
              </w:rPr>
              <w:t>A.</w:t>
            </w:r>
            <w:r>
              <w:rPr>
                <w:rFonts w:asciiTheme="minorHAnsi" w:eastAsiaTheme="minorEastAsia" w:hAnsiTheme="minorHAnsi" w:cstheme="minorBidi"/>
                <w:b w:val="0"/>
                <w:noProof/>
                <w:kern w:val="2"/>
                <w:sz w:val="22"/>
                <w:lang w:val="es-CO"/>
                <w14:ligatures w14:val="standardContextual"/>
              </w:rPr>
              <w:tab/>
            </w:r>
            <w:r w:rsidRPr="00D15940">
              <w:rPr>
                <w:rStyle w:val="Hipervnculo"/>
                <w:noProof/>
              </w:rPr>
              <w:t>The UNSC has competence to investigate the Sterren Forty’s situation</w:t>
            </w:r>
            <w:r>
              <w:rPr>
                <w:noProof/>
                <w:webHidden/>
              </w:rPr>
              <w:tab/>
            </w:r>
            <w:r>
              <w:rPr>
                <w:noProof/>
                <w:webHidden/>
              </w:rPr>
              <w:fldChar w:fldCharType="begin"/>
            </w:r>
            <w:r>
              <w:rPr>
                <w:noProof/>
                <w:webHidden/>
              </w:rPr>
              <w:instrText xml:space="preserve"> PAGEREF _Toc155961584 \h </w:instrText>
            </w:r>
            <w:r>
              <w:rPr>
                <w:noProof/>
                <w:webHidden/>
              </w:rPr>
            </w:r>
            <w:r>
              <w:rPr>
                <w:noProof/>
                <w:webHidden/>
              </w:rPr>
              <w:fldChar w:fldCharType="separate"/>
            </w:r>
            <w:r>
              <w:rPr>
                <w:noProof/>
                <w:webHidden/>
              </w:rPr>
              <w:t>29</w:t>
            </w:r>
            <w:r>
              <w:rPr>
                <w:noProof/>
                <w:webHidden/>
              </w:rPr>
              <w:fldChar w:fldCharType="end"/>
            </w:r>
          </w:hyperlink>
        </w:p>
        <w:p w14:paraId="22D7DCCB" w14:textId="4E398C34" w:rsidR="00492531" w:rsidRDefault="00492531">
          <w:pPr>
            <w:pStyle w:val="TDC3"/>
            <w:tabs>
              <w:tab w:val="left" w:pos="1100"/>
              <w:tab w:val="right" w:leader="dot" w:pos="9240"/>
            </w:tabs>
            <w:rPr>
              <w:rFonts w:asciiTheme="minorHAnsi" w:eastAsiaTheme="minorEastAsia" w:hAnsiTheme="minorHAnsi" w:cstheme="minorBidi"/>
              <w:b w:val="0"/>
              <w:noProof/>
              <w:kern w:val="2"/>
              <w:sz w:val="22"/>
              <w:lang w:val="es-CO"/>
              <w14:ligatures w14:val="standardContextual"/>
            </w:rPr>
          </w:pPr>
          <w:hyperlink w:anchor="_Toc155961585" w:history="1">
            <w:r w:rsidRPr="00D15940">
              <w:rPr>
                <w:rStyle w:val="Hipervnculo"/>
                <w:noProof/>
              </w:rPr>
              <w:t>B.</w:t>
            </w:r>
            <w:r>
              <w:rPr>
                <w:rFonts w:asciiTheme="minorHAnsi" w:eastAsiaTheme="minorEastAsia" w:hAnsiTheme="minorHAnsi" w:cstheme="minorBidi"/>
                <w:b w:val="0"/>
                <w:noProof/>
                <w:kern w:val="2"/>
                <w:sz w:val="22"/>
                <w:lang w:val="es-CO"/>
                <w14:ligatures w14:val="standardContextual"/>
              </w:rPr>
              <w:tab/>
            </w:r>
            <w:r w:rsidRPr="00D15940">
              <w:rPr>
                <w:rStyle w:val="Hipervnculo"/>
                <w:noProof/>
              </w:rPr>
              <w:t>Antrano’s right to exercise diplomatic protection over Dr. Malex is not precluded by the UN’s functional protection</w:t>
            </w:r>
            <w:r>
              <w:rPr>
                <w:noProof/>
                <w:webHidden/>
              </w:rPr>
              <w:tab/>
            </w:r>
            <w:r>
              <w:rPr>
                <w:noProof/>
                <w:webHidden/>
              </w:rPr>
              <w:fldChar w:fldCharType="begin"/>
            </w:r>
            <w:r>
              <w:rPr>
                <w:noProof/>
                <w:webHidden/>
              </w:rPr>
              <w:instrText xml:space="preserve"> PAGEREF _Toc155961585 \h </w:instrText>
            </w:r>
            <w:r>
              <w:rPr>
                <w:noProof/>
                <w:webHidden/>
              </w:rPr>
            </w:r>
            <w:r>
              <w:rPr>
                <w:noProof/>
                <w:webHidden/>
              </w:rPr>
              <w:fldChar w:fldCharType="separate"/>
            </w:r>
            <w:r>
              <w:rPr>
                <w:noProof/>
                <w:webHidden/>
              </w:rPr>
              <w:t>31</w:t>
            </w:r>
            <w:r>
              <w:rPr>
                <w:noProof/>
                <w:webHidden/>
              </w:rPr>
              <w:fldChar w:fldCharType="end"/>
            </w:r>
          </w:hyperlink>
        </w:p>
        <w:p w14:paraId="4E3E12DD" w14:textId="2B5C3F64" w:rsidR="00492531" w:rsidRDefault="00492531">
          <w:pPr>
            <w:pStyle w:val="TDC3"/>
            <w:tabs>
              <w:tab w:val="left" w:pos="1100"/>
              <w:tab w:val="right" w:leader="dot" w:pos="9240"/>
            </w:tabs>
            <w:rPr>
              <w:rFonts w:asciiTheme="minorHAnsi" w:eastAsiaTheme="minorEastAsia" w:hAnsiTheme="minorHAnsi" w:cstheme="minorBidi"/>
              <w:b w:val="0"/>
              <w:noProof/>
              <w:kern w:val="2"/>
              <w:sz w:val="22"/>
              <w:lang w:val="es-CO"/>
              <w14:ligatures w14:val="standardContextual"/>
            </w:rPr>
          </w:pPr>
          <w:hyperlink w:anchor="_Toc155961586" w:history="1">
            <w:r w:rsidRPr="00D15940">
              <w:rPr>
                <w:rStyle w:val="Hipervnculo"/>
                <w:noProof/>
              </w:rPr>
              <w:t>C.</w:t>
            </w:r>
            <w:r>
              <w:rPr>
                <w:rFonts w:asciiTheme="minorHAnsi" w:eastAsiaTheme="minorEastAsia" w:hAnsiTheme="minorHAnsi" w:cstheme="minorBidi"/>
                <w:b w:val="0"/>
                <w:noProof/>
                <w:kern w:val="2"/>
                <w:sz w:val="22"/>
                <w:lang w:val="es-CO"/>
                <w14:ligatures w14:val="standardContextual"/>
              </w:rPr>
              <w:tab/>
            </w:r>
            <w:r w:rsidRPr="00D15940">
              <w:rPr>
                <w:rStyle w:val="Hipervnculo"/>
                <w:noProof/>
              </w:rPr>
              <w:t>Remisia violated international law by denying Dr. Malex entry to its territory</w:t>
            </w:r>
            <w:r>
              <w:rPr>
                <w:noProof/>
                <w:webHidden/>
              </w:rPr>
              <w:tab/>
            </w:r>
            <w:r w:rsidR="00E6589F">
              <w:rPr>
                <w:noProof/>
                <w:webHidden/>
              </w:rPr>
              <w:t>...................................................................................................................................</w:t>
            </w:r>
            <w:r>
              <w:rPr>
                <w:noProof/>
                <w:webHidden/>
              </w:rPr>
              <w:fldChar w:fldCharType="begin"/>
            </w:r>
            <w:r>
              <w:rPr>
                <w:noProof/>
                <w:webHidden/>
              </w:rPr>
              <w:instrText xml:space="preserve"> PAGEREF _Toc155961586 \h </w:instrText>
            </w:r>
            <w:r>
              <w:rPr>
                <w:noProof/>
                <w:webHidden/>
              </w:rPr>
            </w:r>
            <w:r>
              <w:rPr>
                <w:noProof/>
                <w:webHidden/>
              </w:rPr>
              <w:fldChar w:fldCharType="separate"/>
            </w:r>
            <w:r>
              <w:rPr>
                <w:noProof/>
                <w:webHidden/>
              </w:rPr>
              <w:t>32</w:t>
            </w:r>
            <w:r>
              <w:rPr>
                <w:noProof/>
                <w:webHidden/>
              </w:rPr>
              <w:fldChar w:fldCharType="end"/>
            </w:r>
          </w:hyperlink>
        </w:p>
        <w:p w14:paraId="3E668E30" w14:textId="316C23D9" w:rsidR="00492531" w:rsidRDefault="00492531">
          <w:pPr>
            <w:pStyle w:val="TDC4"/>
            <w:tabs>
              <w:tab w:val="left" w:pos="1100"/>
              <w:tab w:val="right" w:leader="dot" w:pos="9240"/>
            </w:tabs>
            <w:rPr>
              <w:rFonts w:asciiTheme="minorHAnsi" w:eastAsiaTheme="minorEastAsia" w:hAnsiTheme="minorHAnsi" w:cstheme="minorBidi"/>
              <w:noProof/>
              <w:kern w:val="2"/>
              <w:sz w:val="22"/>
              <w:lang w:val="es-CO"/>
              <w14:ligatures w14:val="standardContextual"/>
            </w:rPr>
          </w:pPr>
          <w:hyperlink w:anchor="_Toc155961587" w:history="1">
            <w:r w:rsidRPr="00D15940">
              <w:rPr>
                <w:rStyle w:val="Hipervnculo"/>
                <w:bCs/>
                <w:noProof/>
              </w:rPr>
              <w:t>1.</w:t>
            </w:r>
            <w:r>
              <w:rPr>
                <w:rFonts w:asciiTheme="minorHAnsi" w:eastAsiaTheme="minorEastAsia" w:hAnsiTheme="minorHAnsi" w:cstheme="minorBidi"/>
                <w:noProof/>
                <w:kern w:val="2"/>
                <w:sz w:val="22"/>
                <w:lang w:val="es-CO"/>
                <w14:ligatures w14:val="standardContextual"/>
              </w:rPr>
              <w:tab/>
            </w:r>
            <w:r w:rsidRPr="00D15940">
              <w:rPr>
                <w:rStyle w:val="Hipervnculo"/>
                <w:bCs/>
                <w:noProof/>
              </w:rPr>
              <w:t>Remisia violated Dr. Malex’s privileges conferred by Article 7 of the CPI</w:t>
            </w:r>
            <w:r>
              <w:rPr>
                <w:noProof/>
                <w:webHidden/>
              </w:rPr>
              <w:tab/>
            </w:r>
            <w:r>
              <w:rPr>
                <w:noProof/>
                <w:webHidden/>
              </w:rPr>
              <w:fldChar w:fldCharType="begin"/>
            </w:r>
            <w:r>
              <w:rPr>
                <w:noProof/>
                <w:webHidden/>
              </w:rPr>
              <w:instrText xml:space="preserve"> PAGEREF _Toc155961587 \h </w:instrText>
            </w:r>
            <w:r>
              <w:rPr>
                <w:noProof/>
                <w:webHidden/>
              </w:rPr>
            </w:r>
            <w:r>
              <w:rPr>
                <w:noProof/>
                <w:webHidden/>
              </w:rPr>
              <w:fldChar w:fldCharType="separate"/>
            </w:r>
            <w:r>
              <w:rPr>
                <w:noProof/>
                <w:webHidden/>
              </w:rPr>
              <w:t>32</w:t>
            </w:r>
            <w:r>
              <w:rPr>
                <w:noProof/>
                <w:webHidden/>
              </w:rPr>
              <w:fldChar w:fldCharType="end"/>
            </w:r>
          </w:hyperlink>
        </w:p>
        <w:p w14:paraId="7F69A279" w14:textId="172A4982" w:rsidR="00492531" w:rsidRDefault="00492531">
          <w:pPr>
            <w:pStyle w:val="TDC4"/>
            <w:tabs>
              <w:tab w:val="left" w:pos="1100"/>
              <w:tab w:val="right" w:leader="dot" w:pos="9240"/>
            </w:tabs>
            <w:rPr>
              <w:rFonts w:asciiTheme="minorHAnsi" w:eastAsiaTheme="minorEastAsia" w:hAnsiTheme="minorHAnsi" w:cstheme="minorBidi"/>
              <w:noProof/>
              <w:kern w:val="2"/>
              <w:sz w:val="22"/>
              <w:lang w:val="es-CO"/>
              <w14:ligatures w14:val="standardContextual"/>
            </w:rPr>
          </w:pPr>
          <w:hyperlink w:anchor="_Toc155961588" w:history="1">
            <w:r w:rsidRPr="00D15940">
              <w:rPr>
                <w:rStyle w:val="Hipervnculo"/>
                <w:bCs/>
                <w:noProof/>
              </w:rPr>
              <w:t>2.</w:t>
            </w:r>
            <w:r>
              <w:rPr>
                <w:rFonts w:asciiTheme="minorHAnsi" w:eastAsiaTheme="minorEastAsia" w:hAnsiTheme="minorHAnsi" w:cstheme="minorBidi"/>
                <w:noProof/>
                <w:kern w:val="2"/>
                <w:sz w:val="22"/>
                <w:lang w:val="es-CO"/>
                <w14:ligatures w14:val="standardContextual"/>
              </w:rPr>
              <w:tab/>
            </w:r>
            <w:r w:rsidRPr="00D15940">
              <w:rPr>
                <w:rStyle w:val="Hipervnculo"/>
                <w:bCs/>
                <w:noProof/>
              </w:rPr>
              <w:t>Remisia violated Article 25 of the UN Charter by not complying with the obligations imposed by Resolution 99997</w:t>
            </w:r>
            <w:r>
              <w:rPr>
                <w:noProof/>
                <w:webHidden/>
              </w:rPr>
              <w:tab/>
            </w:r>
            <w:r>
              <w:rPr>
                <w:noProof/>
                <w:webHidden/>
              </w:rPr>
              <w:fldChar w:fldCharType="begin"/>
            </w:r>
            <w:r>
              <w:rPr>
                <w:noProof/>
                <w:webHidden/>
              </w:rPr>
              <w:instrText xml:space="preserve"> PAGEREF _Toc155961588 \h </w:instrText>
            </w:r>
            <w:r>
              <w:rPr>
                <w:noProof/>
                <w:webHidden/>
              </w:rPr>
            </w:r>
            <w:r>
              <w:rPr>
                <w:noProof/>
                <w:webHidden/>
              </w:rPr>
              <w:fldChar w:fldCharType="separate"/>
            </w:r>
            <w:r>
              <w:rPr>
                <w:noProof/>
                <w:webHidden/>
              </w:rPr>
              <w:t>33</w:t>
            </w:r>
            <w:r>
              <w:rPr>
                <w:noProof/>
                <w:webHidden/>
              </w:rPr>
              <w:fldChar w:fldCharType="end"/>
            </w:r>
          </w:hyperlink>
        </w:p>
        <w:p w14:paraId="128AF066" w14:textId="6306DD02" w:rsidR="00492531" w:rsidRDefault="00492531">
          <w:pPr>
            <w:pStyle w:val="TDC5"/>
            <w:rPr>
              <w:rFonts w:asciiTheme="minorHAnsi" w:eastAsiaTheme="minorEastAsia" w:hAnsiTheme="minorHAnsi" w:cstheme="minorBidi"/>
              <w:i w:val="0"/>
              <w:noProof/>
              <w:kern w:val="2"/>
              <w:sz w:val="22"/>
              <w:lang w:val="es-CO"/>
              <w14:ligatures w14:val="standardContextual"/>
            </w:rPr>
          </w:pPr>
          <w:hyperlink w:anchor="_Toc155961589" w:history="1">
            <w:r w:rsidRPr="00D15940">
              <w:rPr>
                <w:rStyle w:val="Hipervnculo"/>
                <w:bCs/>
                <w:iCs/>
                <w:noProof/>
              </w:rPr>
              <w:t>a.</w:t>
            </w:r>
            <w:r>
              <w:rPr>
                <w:rFonts w:asciiTheme="minorHAnsi" w:eastAsiaTheme="minorEastAsia" w:hAnsiTheme="minorHAnsi" w:cstheme="minorBidi"/>
                <w:i w:val="0"/>
                <w:noProof/>
                <w:kern w:val="2"/>
                <w:sz w:val="22"/>
                <w:lang w:val="es-CO"/>
                <w14:ligatures w14:val="standardContextual"/>
              </w:rPr>
              <w:tab/>
            </w:r>
            <w:r w:rsidRPr="00D15940">
              <w:rPr>
                <w:rStyle w:val="Hipervnculo"/>
                <w:bCs/>
                <w:iCs/>
                <w:noProof/>
              </w:rPr>
              <w:t>The Charter’s provisions invoked in Resolution 99997 obliges Remisia to cooperate with the UNIMR</w:t>
            </w:r>
            <w:r>
              <w:rPr>
                <w:noProof/>
                <w:webHidden/>
              </w:rPr>
              <w:tab/>
            </w:r>
            <w:r>
              <w:rPr>
                <w:noProof/>
                <w:webHidden/>
              </w:rPr>
              <w:fldChar w:fldCharType="begin"/>
            </w:r>
            <w:r>
              <w:rPr>
                <w:noProof/>
                <w:webHidden/>
              </w:rPr>
              <w:instrText xml:space="preserve"> PAGEREF _Toc155961589 \h </w:instrText>
            </w:r>
            <w:r>
              <w:rPr>
                <w:noProof/>
                <w:webHidden/>
              </w:rPr>
            </w:r>
            <w:r>
              <w:rPr>
                <w:noProof/>
                <w:webHidden/>
              </w:rPr>
              <w:fldChar w:fldCharType="separate"/>
            </w:r>
            <w:r>
              <w:rPr>
                <w:noProof/>
                <w:webHidden/>
              </w:rPr>
              <w:t>33</w:t>
            </w:r>
            <w:r>
              <w:rPr>
                <w:noProof/>
                <w:webHidden/>
              </w:rPr>
              <w:fldChar w:fldCharType="end"/>
            </w:r>
          </w:hyperlink>
        </w:p>
        <w:p w14:paraId="77353704" w14:textId="0F1848C1" w:rsidR="00492531" w:rsidRDefault="00492531">
          <w:pPr>
            <w:pStyle w:val="TDC5"/>
            <w:rPr>
              <w:rFonts w:asciiTheme="minorHAnsi" w:eastAsiaTheme="minorEastAsia" w:hAnsiTheme="minorHAnsi" w:cstheme="minorBidi"/>
              <w:i w:val="0"/>
              <w:noProof/>
              <w:kern w:val="2"/>
              <w:sz w:val="22"/>
              <w:lang w:val="es-CO"/>
              <w14:ligatures w14:val="standardContextual"/>
            </w:rPr>
          </w:pPr>
          <w:hyperlink w:anchor="_Toc155961590" w:history="1">
            <w:r w:rsidRPr="00D15940">
              <w:rPr>
                <w:rStyle w:val="Hipervnculo"/>
                <w:bCs/>
                <w:iCs/>
                <w:noProof/>
              </w:rPr>
              <w:t>b.</w:t>
            </w:r>
            <w:r>
              <w:rPr>
                <w:rFonts w:asciiTheme="minorHAnsi" w:eastAsiaTheme="minorEastAsia" w:hAnsiTheme="minorHAnsi" w:cstheme="minorBidi"/>
                <w:i w:val="0"/>
                <w:noProof/>
                <w:kern w:val="2"/>
                <w:sz w:val="22"/>
                <w:lang w:val="es-CO"/>
                <w14:ligatures w14:val="standardContextual"/>
              </w:rPr>
              <w:tab/>
            </w:r>
            <w:r w:rsidRPr="00D15940">
              <w:rPr>
                <w:rStyle w:val="Hipervnculo"/>
                <w:bCs/>
                <w:iCs/>
                <w:noProof/>
              </w:rPr>
              <w:t>Resolution 99997 obliges Remisia to cooperate with the UNIMR in accordance with the VCLT interpretation rules</w:t>
            </w:r>
            <w:r>
              <w:rPr>
                <w:noProof/>
                <w:webHidden/>
              </w:rPr>
              <w:tab/>
            </w:r>
            <w:r>
              <w:rPr>
                <w:noProof/>
                <w:webHidden/>
              </w:rPr>
              <w:fldChar w:fldCharType="begin"/>
            </w:r>
            <w:r>
              <w:rPr>
                <w:noProof/>
                <w:webHidden/>
              </w:rPr>
              <w:instrText xml:space="preserve"> PAGEREF _Toc155961590 \h </w:instrText>
            </w:r>
            <w:r>
              <w:rPr>
                <w:noProof/>
                <w:webHidden/>
              </w:rPr>
            </w:r>
            <w:r>
              <w:rPr>
                <w:noProof/>
                <w:webHidden/>
              </w:rPr>
              <w:fldChar w:fldCharType="separate"/>
            </w:r>
            <w:r>
              <w:rPr>
                <w:noProof/>
                <w:webHidden/>
              </w:rPr>
              <w:t>34</w:t>
            </w:r>
            <w:r>
              <w:rPr>
                <w:noProof/>
                <w:webHidden/>
              </w:rPr>
              <w:fldChar w:fldCharType="end"/>
            </w:r>
          </w:hyperlink>
        </w:p>
        <w:p w14:paraId="4F8C9CF9" w14:textId="3410B677" w:rsidR="00492531" w:rsidRDefault="00492531">
          <w:pPr>
            <w:pStyle w:val="TDC6"/>
            <w:tabs>
              <w:tab w:val="left" w:pos="1540"/>
              <w:tab w:val="right" w:leader="dot" w:pos="9240"/>
            </w:tabs>
            <w:rPr>
              <w:rFonts w:asciiTheme="minorHAnsi" w:eastAsiaTheme="minorEastAsia" w:hAnsiTheme="minorHAnsi" w:cstheme="minorBidi"/>
              <w:b w:val="0"/>
              <w:noProof/>
              <w:kern w:val="2"/>
              <w:sz w:val="22"/>
              <w:lang w:val="es-CO"/>
              <w14:ligatures w14:val="standardContextual"/>
            </w:rPr>
          </w:pPr>
          <w:hyperlink w:anchor="_Toc155961591" w:history="1">
            <w:r w:rsidRPr="00D15940">
              <w:rPr>
                <w:rStyle w:val="Hipervnculo"/>
                <w:noProof/>
                <w:highlight w:val="white"/>
              </w:rPr>
              <w:t>i.</w:t>
            </w:r>
            <w:r>
              <w:rPr>
                <w:rFonts w:asciiTheme="minorHAnsi" w:eastAsiaTheme="minorEastAsia" w:hAnsiTheme="minorHAnsi" w:cstheme="minorBidi"/>
                <w:b w:val="0"/>
                <w:noProof/>
                <w:kern w:val="2"/>
                <w:sz w:val="22"/>
                <w:lang w:val="es-CO"/>
                <w14:ligatures w14:val="standardContextual"/>
              </w:rPr>
              <w:tab/>
            </w:r>
            <w:r w:rsidRPr="00D15940">
              <w:rPr>
                <w:rStyle w:val="Hipervnculo"/>
                <w:noProof/>
              </w:rPr>
              <w:t>The ordinary meaning of the operative verb ‘</w:t>
            </w:r>
            <w:r w:rsidRPr="00D15940">
              <w:rPr>
                <w:rStyle w:val="Hipervnculo"/>
                <w:i/>
                <w:iCs/>
                <w:noProof/>
              </w:rPr>
              <w:t>Call upon</w:t>
            </w:r>
            <w:r w:rsidRPr="00D15940">
              <w:rPr>
                <w:rStyle w:val="Hipervnculo"/>
                <w:noProof/>
              </w:rPr>
              <w:t>’ in Resolution 99997 obliges Remisia to cooperate with the UNIMR</w:t>
            </w:r>
            <w:r>
              <w:rPr>
                <w:noProof/>
                <w:webHidden/>
              </w:rPr>
              <w:tab/>
            </w:r>
            <w:r>
              <w:rPr>
                <w:noProof/>
                <w:webHidden/>
              </w:rPr>
              <w:fldChar w:fldCharType="begin"/>
            </w:r>
            <w:r>
              <w:rPr>
                <w:noProof/>
                <w:webHidden/>
              </w:rPr>
              <w:instrText xml:space="preserve"> PAGEREF _Toc155961591 \h </w:instrText>
            </w:r>
            <w:r>
              <w:rPr>
                <w:noProof/>
                <w:webHidden/>
              </w:rPr>
            </w:r>
            <w:r>
              <w:rPr>
                <w:noProof/>
                <w:webHidden/>
              </w:rPr>
              <w:fldChar w:fldCharType="separate"/>
            </w:r>
            <w:r>
              <w:rPr>
                <w:noProof/>
                <w:webHidden/>
              </w:rPr>
              <w:t>35</w:t>
            </w:r>
            <w:r>
              <w:rPr>
                <w:noProof/>
                <w:webHidden/>
              </w:rPr>
              <w:fldChar w:fldCharType="end"/>
            </w:r>
          </w:hyperlink>
        </w:p>
        <w:p w14:paraId="606ED47F" w14:textId="7D389A19" w:rsidR="00492531" w:rsidRDefault="00492531">
          <w:pPr>
            <w:pStyle w:val="TDC6"/>
            <w:tabs>
              <w:tab w:val="left" w:pos="1540"/>
              <w:tab w:val="right" w:leader="dot" w:pos="9240"/>
            </w:tabs>
            <w:rPr>
              <w:rFonts w:asciiTheme="minorHAnsi" w:eastAsiaTheme="minorEastAsia" w:hAnsiTheme="minorHAnsi" w:cstheme="minorBidi"/>
              <w:b w:val="0"/>
              <w:noProof/>
              <w:kern w:val="2"/>
              <w:sz w:val="22"/>
              <w:lang w:val="es-CO"/>
              <w14:ligatures w14:val="standardContextual"/>
            </w:rPr>
          </w:pPr>
          <w:hyperlink w:anchor="_Toc155961592" w:history="1">
            <w:r w:rsidRPr="00D15940">
              <w:rPr>
                <w:rStyle w:val="Hipervnculo"/>
                <w:noProof/>
              </w:rPr>
              <w:t>ii.</w:t>
            </w:r>
            <w:r>
              <w:rPr>
                <w:rFonts w:asciiTheme="minorHAnsi" w:eastAsiaTheme="minorEastAsia" w:hAnsiTheme="minorHAnsi" w:cstheme="minorBidi"/>
                <w:b w:val="0"/>
                <w:noProof/>
                <w:kern w:val="2"/>
                <w:sz w:val="22"/>
                <w:lang w:val="es-CO"/>
                <w14:ligatures w14:val="standardContextual"/>
              </w:rPr>
              <w:tab/>
            </w:r>
            <w:r w:rsidRPr="00D15940">
              <w:rPr>
                <w:rStyle w:val="Hipervnculo"/>
                <w:noProof/>
              </w:rPr>
              <w:t>The object and purpose of the Resolution 99997 obliges Remisia to cooperate with the UNIMR</w:t>
            </w:r>
            <w:r>
              <w:rPr>
                <w:noProof/>
                <w:webHidden/>
              </w:rPr>
              <w:tab/>
            </w:r>
            <w:r>
              <w:rPr>
                <w:noProof/>
                <w:webHidden/>
              </w:rPr>
              <w:fldChar w:fldCharType="begin"/>
            </w:r>
            <w:r>
              <w:rPr>
                <w:noProof/>
                <w:webHidden/>
              </w:rPr>
              <w:instrText xml:space="preserve"> PAGEREF _Toc155961592 \h </w:instrText>
            </w:r>
            <w:r>
              <w:rPr>
                <w:noProof/>
                <w:webHidden/>
              </w:rPr>
            </w:r>
            <w:r>
              <w:rPr>
                <w:noProof/>
                <w:webHidden/>
              </w:rPr>
              <w:fldChar w:fldCharType="separate"/>
            </w:r>
            <w:r>
              <w:rPr>
                <w:noProof/>
                <w:webHidden/>
              </w:rPr>
              <w:t>36</w:t>
            </w:r>
            <w:r>
              <w:rPr>
                <w:noProof/>
                <w:webHidden/>
              </w:rPr>
              <w:fldChar w:fldCharType="end"/>
            </w:r>
          </w:hyperlink>
        </w:p>
        <w:p w14:paraId="16DAF663" w14:textId="0A01031E" w:rsidR="00492531" w:rsidRDefault="00492531">
          <w:pPr>
            <w:pStyle w:val="TDC6"/>
            <w:tabs>
              <w:tab w:val="left" w:pos="1760"/>
              <w:tab w:val="right" w:leader="dot" w:pos="9240"/>
            </w:tabs>
            <w:rPr>
              <w:rFonts w:asciiTheme="minorHAnsi" w:eastAsiaTheme="minorEastAsia" w:hAnsiTheme="minorHAnsi" w:cstheme="minorBidi"/>
              <w:b w:val="0"/>
              <w:noProof/>
              <w:kern w:val="2"/>
              <w:sz w:val="22"/>
              <w:lang w:val="es-CO"/>
              <w14:ligatures w14:val="standardContextual"/>
            </w:rPr>
          </w:pPr>
          <w:hyperlink w:anchor="_Toc155961593" w:history="1">
            <w:r w:rsidRPr="00D15940">
              <w:rPr>
                <w:rStyle w:val="Hipervnculo"/>
                <w:noProof/>
              </w:rPr>
              <w:t>iii.</w:t>
            </w:r>
            <w:r>
              <w:rPr>
                <w:rFonts w:asciiTheme="minorHAnsi" w:eastAsiaTheme="minorEastAsia" w:hAnsiTheme="minorHAnsi" w:cstheme="minorBidi"/>
                <w:b w:val="0"/>
                <w:noProof/>
                <w:kern w:val="2"/>
                <w:sz w:val="22"/>
                <w:lang w:val="es-CO"/>
                <w14:ligatures w14:val="standardContextual"/>
              </w:rPr>
              <w:tab/>
            </w:r>
            <w:r w:rsidRPr="00D15940">
              <w:rPr>
                <w:rStyle w:val="Hipervnculo"/>
                <w:noProof/>
              </w:rPr>
              <w:t>The practice subsequent to the adoption of Resolution 99997 obliges Remisia to cooperate with the UNIMR</w:t>
            </w:r>
            <w:r>
              <w:rPr>
                <w:noProof/>
                <w:webHidden/>
              </w:rPr>
              <w:tab/>
            </w:r>
            <w:r>
              <w:rPr>
                <w:noProof/>
                <w:webHidden/>
              </w:rPr>
              <w:fldChar w:fldCharType="begin"/>
            </w:r>
            <w:r>
              <w:rPr>
                <w:noProof/>
                <w:webHidden/>
              </w:rPr>
              <w:instrText xml:space="preserve"> PAGEREF _Toc155961593 \h </w:instrText>
            </w:r>
            <w:r>
              <w:rPr>
                <w:noProof/>
                <w:webHidden/>
              </w:rPr>
            </w:r>
            <w:r>
              <w:rPr>
                <w:noProof/>
                <w:webHidden/>
              </w:rPr>
              <w:fldChar w:fldCharType="separate"/>
            </w:r>
            <w:r>
              <w:rPr>
                <w:noProof/>
                <w:webHidden/>
              </w:rPr>
              <w:t>36</w:t>
            </w:r>
            <w:r>
              <w:rPr>
                <w:noProof/>
                <w:webHidden/>
              </w:rPr>
              <w:fldChar w:fldCharType="end"/>
            </w:r>
          </w:hyperlink>
        </w:p>
        <w:p w14:paraId="692AFD2B" w14:textId="79ECED41" w:rsidR="00492531" w:rsidRDefault="00492531">
          <w:pPr>
            <w:pStyle w:val="TDC1"/>
            <w:rPr>
              <w:rFonts w:asciiTheme="minorHAnsi" w:eastAsiaTheme="minorEastAsia" w:hAnsiTheme="minorHAnsi" w:cstheme="minorBidi"/>
              <w:b w:val="0"/>
              <w:kern w:val="2"/>
              <w:sz w:val="22"/>
              <w:szCs w:val="22"/>
              <w:lang w:val="es-CO"/>
              <w14:ligatures w14:val="standardContextual"/>
            </w:rPr>
          </w:pPr>
          <w:hyperlink w:anchor="_Toc155961594" w:history="1">
            <w:r w:rsidRPr="00D15940">
              <w:rPr>
                <w:rStyle w:val="Hipervnculo"/>
                <w:highlight w:val="white"/>
              </w:rPr>
              <w:t>PRAYER FOR RELIEF</w:t>
            </w:r>
            <w:r>
              <w:rPr>
                <w:webHidden/>
              </w:rPr>
              <w:tab/>
            </w:r>
            <w:r>
              <w:rPr>
                <w:webHidden/>
              </w:rPr>
              <w:fldChar w:fldCharType="begin"/>
            </w:r>
            <w:r>
              <w:rPr>
                <w:webHidden/>
              </w:rPr>
              <w:instrText xml:space="preserve"> PAGEREF _Toc155961594 \h </w:instrText>
            </w:r>
            <w:r>
              <w:rPr>
                <w:webHidden/>
              </w:rPr>
            </w:r>
            <w:r>
              <w:rPr>
                <w:webHidden/>
              </w:rPr>
              <w:fldChar w:fldCharType="separate"/>
            </w:r>
            <w:r>
              <w:rPr>
                <w:webHidden/>
              </w:rPr>
              <w:t>38</w:t>
            </w:r>
            <w:r>
              <w:rPr>
                <w:webHidden/>
              </w:rPr>
              <w:fldChar w:fldCharType="end"/>
            </w:r>
          </w:hyperlink>
        </w:p>
        <w:p w14:paraId="1788FA1E" w14:textId="313F4638" w:rsidR="00420BF9" w:rsidRDefault="00DA5516" w:rsidP="00D24E30">
          <w:pPr>
            <w:spacing w:line="360" w:lineRule="auto"/>
          </w:pPr>
          <w:r>
            <w:fldChar w:fldCharType="end"/>
          </w:r>
        </w:p>
      </w:sdtContent>
    </w:sdt>
    <w:p w14:paraId="4A841DCB" w14:textId="77777777" w:rsidR="00917DB7" w:rsidRDefault="00917DB7">
      <w:pPr>
        <w:rPr>
          <w:b/>
          <w:sz w:val="24"/>
          <w:szCs w:val="24"/>
          <w:u w:val="single"/>
        </w:rPr>
      </w:pPr>
      <w:r>
        <w:rPr>
          <w:u w:val="single"/>
        </w:rPr>
        <w:br w:type="page"/>
      </w:r>
    </w:p>
    <w:p w14:paraId="34B844DC" w14:textId="0714F83E" w:rsidR="005357B6" w:rsidRPr="00126B75" w:rsidRDefault="005357B6" w:rsidP="00126B75">
      <w:pPr>
        <w:pStyle w:val="Ttulo1"/>
        <w:spacing w:after="240" w:line="480" w:lineRule="auto"/>
        <w:rPr>
          <w:u w:val="single"/>
        </w:rPr>
      </w:pPr>
      <w:bookmarkStart w:id="0" w:name="_Toc155961544"/>
      <w:r w:rsidRPr="005357B6">
        <w:rPr>
          <w:u w:val="single"/>
        </w:rPr>
        <w:lastRenderedPageBreak/>
        <w:t>INDEX OF AUTHORITIES</w:t>
      </w:r>
      <w:bookmarkEnd w:id="0"/>
    </w:p>
    <w:p w14:paraId="0B35550A" w14:textId="77777777" w:rsidR="000B5DB7" w:rsidRDefault="000B5DB7" w:rsidP="00015CF2">
      <w:pPr>
        <w:pStyle w:val="Encabezadodelista"/>
        <w:tabs>
          <w:tab w:val="right" w:leader="dot" w:pos="9240"/>
        </w:tabs>
        <w:rPr>
          <w:rFonts w:asciiTheme="minorHAnsi" w:eastAsiaTheme="minorEastAsia" w:hAnsiTheme="minorHAnsi" w:cstheme="minorBidi"/>
          <w:b w:val="0"/>
          <w:bCs w:val="0"/>
          <w:noProof/>
          <w:sz w:val="22"/>
          <w:szCs w:val="22"/>
        </w:rPr>
      </w:pPr>
      <w:r>
        <w:fldChar w:fldCharType="begin"/>
      </w:r>
      <w:r>
        <w:instrText xml:space="preserve"> TOA \h \c "1" </w:instrText>
      </w:r>
      <w:r>
        <w:fldChar w:fldCharType="separate"/>
      </w:r>
      <w:r>
        <w:rPr>
          <w:noProof/>
        </w:rPr>
        <w:t>INTERNATIONAL COURT OF JUSTICE CASES</w:t>
      </w:r>
    </w:p>
    <w:p w14:paraId="180C299E" w14:textId="77777777" w:rsidR="000B5DB7" w:rsidRDefault="000B5DB7" w:rsidP="00015CF2">
      <w:pPr>
        <w:pStyle w:val="Textoconsangra"/>
        <w:tabs>
          <w:tab w:val="right" w:leader="dot" w:pos="9240"/>
        </w:tabs>
        <w:rPr>
          <w:noProof/>
        </w:rPr>
      </w:pPr>
      <w:r w:rsidRPr="004D4040">
        <w:rPr>
          <w:i/>
          <w:noProof/>
        </w:rPr>
        <w:t xml:space="preserve">Accordance With International Law of the Unilateral Declaration of Independence in Respect of Kosovo </w:t>
      </w:r>
      <w:r>
        <w:rPr>
          <w:noProof/>
        </w:rPr>
        <w:t>(Advisory Opinion) [2010] [‘</w:t>
      </w:r>
      <w:r w:rsidRPr="004D4040">
        <w:rPr>
          <w:i/>
          <w:noProof/>
        </w:rPr>
        <w:t>Kosovo Advisory Opinion’</w:t>
      </w:r>
      <w:r>
        <w:rPr>
          <w:noProof/>
        </w:rPr>
        <w:t>] ICJ Rep 442</w:t>
      </w:r>
      <w:r>
        <w:rPr>
          <w:noProof/>
        </w:rPr>
        <w:tab/>
        <w:t>34, 35, 37</w:t>
      </w:r>
    </w:p>
    <w:p w14:paraId="25A542BB" w14:textId="77777777" w:rsidR="000B5DB7" w:rsidRDefault="000B5DB7" w:rsidP="00015CF2">
      <w:pPr>
        <w:pStyle w:val="Textoconsangra"/>
        <w:tabs>
          <w:tab w:val="right" w:leader="dot" w:pos="9240"/>
        </w:tabs>
        <w:rPr>
          <w:noProof/>
        </w:rPr>
      </w:pPr>
      <w:r w:rsidRPr="004D4040">
        <w:rPr>
          <w:noProof/>
          <w:highlight w:val="white"/>
        </w:rPr>
        <w:t>Ahmadou</w:t>
      </w:r>
      <w:r w:rsidRPr="004D4040">
        <w:rPr>
          <w:i/>
          <w:noProof/>
          <w:highlight w:val="white"/>
        </w:rPr>
        <w:t xml:space="preserve"> Sadio Diallo (Republic of Guinea v. Democratic Republic of the Congo) </w:t>
      </w:r>
      <w:r w:rsidRPr="004D4040">
        <w:rPr>
          <w:noProof/>
          <w:highlight w:val="white"/>
        </w:rPr>
        <w:t>(Merits) [2010] [</w:t>
      </w:r>
      <w:r w:rsidRPr="004D4040">
        <w:rPr>
          <w:i/>
          <w:noProof/>
          <w:highlight w:val="white"/>
        </w:rPr>
        <w:t>‘Diallo’</w:t>
      </w:r>
      <w:r w:rsidRPr="004D4040">
        <w:rPr>
          <w:noProof/>
          <w:highlight w:val="white"/>
        </w:rPr>
        <w:t>] ICJ Rep 664</w:t>
      </w:r>
      <w:r>
        <w:rPr>
          <w:noProof/>
        </w:rPr>
        <w:tab/>
        <w:t>4</w:t>
      </w:r>
    </w:p>
    <w:p w14:paraId="4FFDB97A" w14:textId="77777777" w:rsidR="000B5DB7" w:rsidRDefault="000B5DB7" w:rsidP="00015CF2">
      <w:pPr>
        <w:pStyle w:val="Textoconsangra"/>
        <w:tabs>
          <w:tab w:val="right" w:leader="dot" w:pos="9240"/>
        </w:tabs>
        <w:rPr>
          <w:noProof/>
        </w:rPr>
      </w:pPr>
      <w:r w:rsidRPr="004D4040">
        <w:rPr>
          <w:i/>
          <w:noProof/>
        </w:rPr>
        <w:t>Ahmadou Sadio Diallo (Republic of Guinea v. Democratic Republic of the Congo)</w:t>
      </w:r>
      <w:r>
        <w:rPr>
          <w:noProof/>
        </w:rPr>
        <w:t xml:space="preserve"> (Preliminary Objections) [2007] ICJ Rep 582</w:t>
      </w:r>
      <w:r>
        <w:rPr>
          <w:noProof/>
        </w:rPr>
        <w:tab/>
        <w:t>31</w:t>
      </w:r>
    </w:p>
    <w:p w14:paraId="53C16A57" w14:textId="77777777" w:rsidR="000B5DB7" w:rsidRDefault="000B5DB7" w:rsidP="00015CF2">
      <w:pPr>
        <w:pStyle w:val="Textoconsangra"/>
        <w:tabs>
          <w:tab w:val="right" w:leader="dot" w:pos="9240"/>
        </w:tabs>
        <w:rPr>
          <w:noProof/>
        </w:rPr>
      </w:pPr>
      <w:r w:rsidRPr="004D4040">
        <w:rPr>
          <w:i/>
          <w:noProof/>
          <w:highlight w:val="white"/>
        </w:rPr>
        <w:t xml:space="preserve">Application of the Convention against Torture and Other Cruel, Inhuman or Degrading Treatment or Punishment </w:t>
      </w:r>
      <w:r w:rsidRPr="004D4040">
        <w:rPr>
          <w:noProof/>
          <w:highlight w:val="white"/>
        </w:rPr>
        <w:t xml:space="preserve">(Canada and the Netherlands v. Syrian Arab Republic) (Provisional Measures) [2023] </w:t>
      </w:r>
      <w:r>
        <w:rPr>
          <w:noProof/>
        </w:rPr>
        <w:t>ICJ Rep 14</w:t>
      </w:r>
      <w:r>
        <w:rPr>
          <w:noProof/>
        </w:rPr>
        <w:tab/>
        <w:t>2</w:t>
      </w:r>
    </w:p>
    <w:p w14:paraId="3E197076" w14:textId="77777777" w:rsidR="000B5DB7" w:rsidRDefault="000B5DB7" w:rsidP="00015CF2">
      <w:pPr>
        <w:pStyle w:val="Textoconsangra"/>
        <w:tabs>
          <w:tab w:val="right" w:leader="dot" w:pos="9240"/>
        </w:tabs>
        <w:rPr>
          <w:noProof/>
        </w:rPr>
      </w:pPr>
      <w:r w:rsidRPr="004D4040">
        <w:rPr>
          <w:i/>
          <w:noProof/>
          <w:highlight w:val="white"/>
        </w:rPr>
        <w:t xml:space="preserve">Application of the Convention on the Prevention and Punishment of the Crime of Genocide </w:t>
      </w:r>
      <w:r w:rsidRPr="004D4040">
        <w:rPr>
          <w:noProof/>
          <w:highlight w:val="white"/>
        </w:rPr>
        <w:t xml:space="preserve">(The Gambia v. Myanmar) (Declaration of Judge Ad Hoc Kreß) [2022] </w:t>
      </w:r>
      <w:r>
        <w:rPr>
          <w:noProof/>
        </w:rPr>
        <w:t>ICJ Rep 545</w:t>
      </w:r>
      <w:r>
        <w:rPr>
          <w:noProof/>
        </w:rPr>
        <w:tab/>
        <w:t>2</w:t>
      </w:r>
    </w:p>
    <w:p w14:paraId="70FC2513" w14:textId="77777777" w:rsidR="000B5DB7" w:rsidRDefault="000B5DB7" w:rsidP="00015CF2">
      <w:pPr>
        <w:pStyle w:val="Textoconsangra"/>
        <w:tabs>
          <w:tab w:val="right" w:leader="dot" w:pos="9240"/>
        </w:tabs>
        <w:rPr>
          <w:noProof/>
        </w:rPr>
      </w:pPr>
      <w:r w:rsidRPr="004D4040">
        <w:rPr>
          <w:i/>
          <w:noProof/>
          <w:highlight w:val="white"/>
        </w:rPr>
        <w:t>Application of the Convention on the Prevention and Punishment of the Crime of Genocide</w:t>
      </w:r>
      <w:r w:rsidRPr="004D4040">
        <w:rPr>
          <w:noProof/>
          <w:highlight w:val="white"/>
        </w:rPr>
        <w:t xml:space="preserve"> (The Gambia v. Myanmar) (Preliminary Objections) [2022] [</w:t>
      </w:r>
      <w:r w:rsidRPr="004D4040">
        <w:rPr>
          <w:i/>
          <w:noProof/>
          <w:highlight w:val="white"/>
        </w:rPr>
        <w:t>‘The Gambia v. Myanmar’</w:t>
      </w:r>
      <w:r w:rsidRPr="004D4040">
        <w:rPr>
          <w:noProof/>
          <w:highlight w:val="white"/>
        </w:rPr>
        <w:t xml:space="preserve">] </w:t>
      </w:r>
      <w:r>
        <w:rPr>
          <w:noProof/>
        </w:rPr>
        <w:t>ICJ Rep 516</w:t>
      </w:r>
      <w:r>
        <w:rPr>
          <w:noProof/>
        </w:rPr>
        <w:tab/>
        <w:t>1, 2, 3, 8</w:t>
      </w:r>
    </w:p>
    <w:p w14:paraId="14272B50" w14:textId="77777777" w:rsidR="000B5DB7" w:rsidRDefault="000B5DB7" w:rsidP="00015CF2">
      <w:pPr>
        <w:pStyle w:val="Textoconsangra"/>
        <w:tabs>
          <w:tab w:val="right" w:leader="dot" w:pos="9240"/>
        </w:tabs>
        <w:rPr>
          <w:noProof/>
        </w:rPr>
      </w:pPr>
      <w:r w:rsidRPr="004D4040">
        <w:rPr>
          <w:i/>
          <w:noProof/>
          <w:highlight w:val="white"/>
        </w:rPr>
        <w:t xml:space="preserve">Armed Activities on the Territory of the Congo (Democratic Republic of the Congo v. Uganda) </w:t>
      </w:r>
      <w:r w:rsidRPr="004D4040">
        <w:rPr>
          <w:noProof/>
          <w:highlight w:val="white"/>
        </w:rPr>
        <w:t>(Separate Opinion Judge Simma) [2005] ICJ Rep 347</w:t>
      </w:r>
      <w:r>
        <w:rPr>
          <w:noProof/>
        </w:rPr>
        <w:tab/>
        <w:t>4</w:t>
      </w:r>
    </w:p>
    <w:p w14:paraId="3DB554A2" w14:textId="77777777" w:rsidR="000B5DB7" w:rsidRDefault="000B5DB7" w:rsidP="00015CF2">
      <w:pPr>
        <w:pStyle w:val="Textoconsangra"/>
        <w:tabs>
          <w:tab w:val="right" w:leader="dot" w:pos="9240"/>
        </w:tabs>
        <w:rPr>
          <w:noProof/>
        </w:rPr>
      </w:pPr>
      <w:r w:rsidRPr="004D4040">
        <w:rPr>
          <w:i/>
          <w:noProof/>
        </w:rPr>
        <w:t>Avena and Other Mexican Nationals (Mexico v. USA)</w:t>
      </w:r>
      <w:r>
        <w:rPr>
          <w:noProof/>
        </w:rPr>
        <w:t xml:space="preserve"> (Judgment) [2004] [‘</w:t>
      </w:r>
      <w:r w:rsidRPr="004D4040">
        <w:rPr>
          <w:i/>
          <w:noProof/>
        </w:rPr>
        <w:t>Avena case’</w:t>
      </w:r>
      <w:r>
        <w:rPr>
          <w:noProof/>
        </w:rPr>
        <w:t>] ICJ Rep 44</w:t>
      </w:r>
      <w:r>
        <w:rPr>
          <w:noProof/>
        </w:rPr>
        <w:tab/>
        <w:t>26</w:t>
      </w:r>
    </w:p>
    <w:p w14:paraId="707CAA02" w14:textId="77777777" w:rsidR="000B5DB7" w:rsidRDefault="000B5DB7" w:rsidP="00015CF2">
      <w:pPr>
        <w:pStyle w:val="Textoconsangra"/>
        <w:tabs>
          <w:tab w:val="right" w:leader="dot" w:pos="9240"/>
        </w:tabs>
        <w:rPr>
          <w:noProof/>
        </w:rPr>
      </w:pPr>
      <w:r w:rsidRPr="004D4040">
        <w:rPr>
          <w:i/>
          <w:noProof/>
        </w:rPr>
        <w:t xml:space="preserve">Case Concerning the Barcelona Traction, Light and Power Company, Limited (Belgium v. Spain) </w:t>
      </w:r>
      <w:r>
        <w:rPr>
          <w:noProof/>
        </w:rPr>
        <w:t>(Second Phase) [1970] [</w:t>
      </w:r>
      <w:r w:rsidRPr="004D4040">
        <w:rPr>
          <w:i/>
          <w:noProof/>
        </w:rPr>
        <w:t>‘Barcelona Traction’</w:t>
      </w:r>
      <w:r>
        <w:rPr>
          <w:noProof/>
        </w:rPr>
        <w:t xml:space="preserve">] </w:t>
      </w:r>
      <w:r w:rsidRPr="004D4040">
        <w:rPr>
          <w:noProof/>
          <w:highlight w:val="white"/>
        </w:rPr>
        <w:t>ICJ Rep 32</w:t>
      </w:r>
      <w:r>
        <w:rPr>
          <w:noProof/>
        </w:rPr>
        <w:tab/>
        <w:t>5, 23, 31</w:t>
      </w:r>
    </w:p>
    <w:p w14:paraId="799302CA" w14:textId="77777777" w:rsidR="000B5DB7" w:rsidRDefault="000B5DB7" w:rsidP="00015CF2">
      <w:pPr>
        <w:pStyle w:val="Textoconsangra"/>
        <w:tabs>
          <w:tab w:val="right" w:leader="dot" w:pos="9240"/>
        </w:tabs>
        <w:rPr>
          <w:noProof/>
        </w:rPr>
      </w:pPr>
      <w:r w:rsidRPr="004D4040">
        <w:rPr>
          <w:i/>
          <w:noProof/>
        </w:rPr>
        <w:t>Certain Expenses of the United Nations</w:t>
      </w:r>
      <w:r>
        <w:rPr>
          <w:noProof/>
        </w:rPr>
        <w:t xml:space="preserve"> (Article 17, paragraph 2, of the Charter) (Advisory Opinion) [1962] [‘</w:t>
      </w:r>
      <w:r w:rsidRPr="004D4040">
        <w:rPr>
          <w:i/>
          <w:noProof/>
        </w:rPr>
        <w:t>Certain Expenses’</w:t>
      </w:r>
      <w:r>
        <w:rPr>
          <w:noProof/>
        </w:rPr>
        <w:t>] ICJ Rep 168</w:t>
      </w:r>
      <w:r>
        <w:rPr>
          <w:noProof/>
        </w:rPr>
        <w:tab/>
        <w:t>30</w:t>
      </w:r>
    </w:p>
    <w:p w14:paraId="17DEE729" w14:textId="77777777" w:rsidR="000B5DB7" w:rsidRDefault="000B5DB7" w:rsidP="00015CF2">
      <w:pPr>
        <w:pStyle w:val="Textoconsangra"/>
        <w:tabs>
          <w:tab w:val="right" w:leader="dot" w:pos="9240"/>
        </w:tabs>
        <w:rPr>
          <w:noProof/>
        </w:rPr>
      </w:pPr>
      <w:r w:rsidRPr="004D4040">
        <w:rPr>
          <w:i/>
          <w:noProof/>
          <w:highlight w:val="white"/>
        </w:rPr>
        <w:t>East Timor (Portugal v Australia)</w:t>
      </w:r>
      <w:r w:rsidRPr="004D4040">
        <w:rPr>
          <w:noProof/>
          <w:highlight w:val="white"/>
        </w:rPr>
        <w:t xml:space="preserve"> (Dissenting Opinion Judge Skubiszewski) [1995] ICJ Rep 266</w:t>
      </w:r>
      <w:r>
        <w:rPr>
          <w:noProof/>
        </w:rPr>
        <w:tab/>
        <w:t>6</w:t>
      </w:r>
    </w:p>
    <w:p w14:paraId="5D56D966" w14:textId="77777777" w:rsidR="000B5DB7" w:rsidRDefault="000B5DB7" w:rsidP="00015CF2">
      <w:pPr>
        <w:pStyle w:val="Textoconsangra"/>
        <w:tabs>
          <w:tab w:val="right" w:leader="dot" w:pos="9240"/>
        </w:tabs>
        <w:rPr>
          <w:noProof/>
        </w:rPr>
      </w:pPr>
      <w:r w:rsidRPr="004D4040">
        <w:rPr>
          <w:i/>
          <w:noProof/>
          <w:highlight w:val="white"/>
        </w:rPr>
        <w:t>East Timor (Portugal v Australia)</w:t>
      </w:r>
      <w:r w:rsidRPr="004D4040">
        <w:rPr>
          <w:noProof/>
          <w:highlight w:val="white"/>
        </w:rPr>
        <w:t xml:space="preserve"> (Dissenting Opinion Judge Weeramantry) [1995] ICJ Rep 194</w:t>
      </w:r>
      <w:r>
        <w:rPr>
          <w:noProof/>
        </w:rPr>
        <w:tab/>
        <w:t>6</w:t>
      </w:r>
    </w:p>
    <w:p w14:paraId="67DEFF29" w14:textId="77777777" w:rsidR="000B5DB7" w:rsidRDefault="000B5DB7" w:rsidP="00015CF2">
      <w:pPr>
        <w:pStyle w:val="Textoconsangra"/>
        <w:tabs>
          <w:tab w:val="right" w:leader="dot" w:pos="9240"/>
        </w:tabs>
        <w:rPr>
          <w:noProof/>
        </w:rPr>
      </w:pPr>
      <w:r w:rsidRPr="004D4040">
        <w:rPr>
          <w:i/>
          <w:noProof/>
          <w:highlight w:val="white"/>
        </w:rPr>
        <w:t>East Timor (Portugal v Australia)</w:t>
      </w:r>
      <w:r w:rsidRPr="004D4040">
        <w:rPr>
          <w:noProof/>
          <w:highlight w:val="white"/>
        </w:rPr>
        <w:t xml:space="preserve"> (Judgment) [1995] ICJ Rep 90</w:t>
      </w:r>
      <w:r>
        <w:rPr>
          <w:noProof/>
        </w:rPr>
        <w:tab/>
        <w:t>5</w:t>
      </w:r>
    </w:p>
    <w:p w14:paraId="70EFB151" w14:textId="77777777" w:rsidR="000B5DB7" w:rsidRDefault="000B5DB7" w:rsidP="00015CF2">
      <w:pPr>
        <w:pStyle w:val="Textoconsangra"/>
        <w:tabs>
          <w:tab w:val="right" w:leader="dot" w:pos="9240"/>
        </w:tabs>
        <w:rPr>
          <w:noProof/>
        </w:rPr>
      </w:pPr>
      <w:r>
        <w:rPr>
          <w:noProof/>
        </w:rPr>
        <w:t>Elettronica Sicula S.p.A. (ELSI) (USA v. Italy) (Judgment) [1989] ICJ Rep 43-44</w:t>
      </w:r>
      <w:r>
        <w:rPr>
          <w:noProof/>
        </w:rPr>
        <w:tab/>
        <w:t>31</w:t>
      </w:r>
    </w:p>
    <w:p w14:paraId="36726012" w14:textId="77777777" w:rsidR="000B5DB7" w:rsidRDefault="000B5DB7" w:rsidP="00015CF2">
      <w:pPr>
        <w:pStyle w:val="Textoconsangra"/>
        <w:tabs>
          <w:tab w:val="right" w:leader="dot" w:pos="9240"/>
        </w:tabs>
        <w:rPr>
          <w:noProof/>
        </w:rPr>
      </w:pPr>
      <w:r w:rsidRPr="004D4040">
        <w:rPr>
          <w:i/>
          <w:noProof/>
          <w:highlight w:val="white"/>
        </w:rPr>
        <w:t xml:space="preserve">Factory at Chorzów case </w:t>
      </w:r>
      <w:r w:rsidRPr="004D4040">
        <w:rPr>
          <w:noProof/>
          <w:highlight w:val="white"/>
        </w:rPr>
        <w:t>(Germany v. Poland) (Judgment) (1927) PCIJ Series A No 17</w:t>
      </w:r>
      <w:r>
        <w:rPr>
          <w:noProof/>
        </w:rPr>
        <w:tab/>
        <w:t>20</w:t>
      </w:r>
    </w:p>
    <w:p w14:paraId="5CDC5EE4" w14:textId="77777777" w:rsidR="000B5DB7" w:rsidRDefault="000B5DB7" w:rsidP="00015CF2">
      <w:pPr>
        <w:pStyle w:val="Textoconsangra"/>
        <w:tabs>
          <w:tab w:val="right" w:leader="dot" w:pos="9240"/>
        </w:tabs>
        <w:rPr>
          <w:noProof/>
        </w:rPr>
      </w:pPr>
      <w:r w:rsidRPr="004D4040">
        <w:rPr>
          <w:i/>
          <w:noProof/>
        </w:rPr>
        <w:t>Interhandel (Switzerland v. USA)</w:t>
      </w:r>
      <w:r>
        <w:rPr>
          <w:noProof/>
        </w:rPr>
        <w:t xml:space="preserve"> (Preliminary Objections) [1959] ICJ Rep 29</w:t>
      </w:r>
      <w:r>
        <w:rPr>
          <w:noProof/>
        </w:rPr>
        <w:tab/>
        <w:t>31</w:t>
      </w:r>
    </w:p>
    <w:p w14:paraId="0D312E31" w14:textId="77777777" w:rsidR="000B5DB7" w:rsidRDefault="000B5DB7" w:rsidP="00015CF2">
      <w:pPr>
        <w:pStyle w:val="Textoconsangra"/>
        <w:tabs>
          <w:tab w:val="right" w:leader="dot" w:pos="9240"/>
        </w:tabs>
        <w:rPr>
          <w:noProof/>
        </w:rPr>
      </w:pPr>
      <w:r w:rsidRPr="004D4040">
        <w:rPr>
          <w:noProof/>
          <w:highlight w:val="white"/>
        </w:rPr>
        <w:t>Jadhav</w:t>
      </w:r>
      <w:r w:rsidRPr="004D4040">
        <w:rPr>
          <w:i/>
          <w:noProof/>
        </w:rPr>
        <w:t xml:space="preserve"> Case (India v. Pakistan)</w:t>
      </w:r>
      <w:r>
        <w:rPr>
          <w:noProof/>
        </w:rPr>
        <w:t xml:space="preserve"> (Merits) [2019] [‘</w:t>
      </w:r>
      <w:r w:rsidRPr="004D4040">
        <w:rPr>
          <w:i/>
          <w:noProof/>
        </w:rPr>
        <w:t>Jadhav</w:t>
      </w:r>
      <w:r>
        <w:rPr>
          <w:noProof/>
        </w:rPr>
        <w:t>’] ICJ Rep 418</w:t>
      </w:r>
      <w:r>
        <w:rPr>
          <w:noProof/>
        </w:rPr>
        <w:tab/>
        <w:t>21, 27</w:t>
      </w:r>
    </w:p>
    <w:p w14:paraId="32C5CDB7" w14:textId="77777777" w:rsidR="000B5DB7" w:rsidRDefault="000B5DB7" w:rsidP="00015CF2">
      <w:pPr>
        <w:pStyle w:val="Textoconsangra"/>
        <w:tabs>
          <w:tab w:val="right" w:leader="dot" w:pos="9240"/>
        </w:tabs>
        <w:rPr>
          <w:noProof/>
        </w:rPr>
      </w:pPr>
      <w:r w:rsidRPr="004D4040">
        <w:rPr>
          <w:i/>
          <w:noProof/>
        </w:rPr>
        <w:lastRenderedPageBreak/>
        <w:t xml:space="preserve">LaGrand Case (Germany v. USA) </w:t>
      </w:r>
      <w:r>
        <w:rPr>
          <w:noProof/>
        </w:rPr>
        <w:t>(Merits) [2001] ICJ Rep 466</w:t>
      </w:r>
      <w:r>
        <w:rPr>
          <w:noProof/>
        </w:rPr>
        <w:tab/>
        <w:t>27</w:t>
      </w:r>
    </w:p>
    <w:p w14:paraId="6971BCFF" w14:textId="77777777" w:rsidR="000B5DB7" w:rsidRDefault="000B5DB7" w:rsidP="00015CF2">
      <w:pPr>
        <w:pStyle w:val="Textoconsangra"/>
        <w:tabs>
          <w:tab w:val="right" w:leader="dot" w:pos="9240"/>
        </w:tabs>
        <w:rPr>
          <w:noProof/>
        </w:rPr>
      </w:pPr>
      <w:r w:rsidRPr="004D4040">
        <w:rPr>
          <w:i/>
          <w:noProof/>
        </w:rPr>
        <w:t>Legal Consequences for States of the Continued Presence of South Africa in Namibia (Southwest Africa) Notwithstanding Security Council Resolution 2</w:t>
      </w:r>
      <w:r>
        <w:rPr>
          <w:noProof/>
        </w:rPr>
        <w:t>76 (Advisory Opinion) [1970] [‘</w:t>
      </w:r>
      <w:r w:rsidRPr="004D4040">
        <w:rPr>
          <w:i/>
          <w:noProof/>
        </w:rPr>
        <w:t>Namibia Advisory Opinion</w:t>
      </w:r>
      <w:r>
        <w:rPr>
          <w:noProof/>
        </w:rPr>
        <w:t>’], ICJ Rep 1971</w:t>
      </w:r>
      <w:r>
        <w:rPr>
          <w:noProof/>
        </w:rPr>
        <w:tab/>
        <w:t>33, 34, 35, 37</w:t>
      </w:r>
    </w:p>
    <w:p w14:paraId="4B6C6278" w14:textId="77777777" w:rsidR="000B5DB7" w:rsidRDefault="000B5DB7" w:rsidP="00015CF2">
      <w:pPr>
        <w:pStyle w:val="Textoconsangra"/>
        <w:tabs>
          <w:tab w:val="right" w:leader="dot" w:pos="9240"/>
        </w:tabs>
        <w:rPr>
          <w:noProof/>
        </w:rPr>
      </w:pPr>
      <w:r w:rsidRPr="004D4040">
        <w:rPr>
          <w:i/>
          <w:noProof/>
        </w:rPr>
        <w:t xml:space="preserve">Legal Consequences of the Construction of a Wall in the Occupied Palestinian Territory </w:t>
      </w:r>
      <w:r>
        <w:rPr>
          <w:noProof/>
        </w:rPr>
        <w:t>(Advisory Opinion) [2004] [‘</w:t>
      </w:r>
      <w:r w:rsidRPr="004D4040">
        <w:rPr>
          <w:i/>
          <w:noProof/>
        </w:rPr>
        <w:t>The Wall’</w:t>
      </w:r>
      <w:r>
        <w:rPr>
          <w:noProof/>
        </w:rPr>
        <w:t>] ICJ Rep 194</w:t>
      </w:r>
      <w:r>
        <w:rPr>
          <w:noProof/>
        </w:rPr>
        <w:tab/>
        <w:t>5</w:t>
      </w:r>
    </w:p>
    <w:p w14:paraId="180A7BA6" w14:textId="77777777" w:rsidR="000B5DB7" w:rsidRDefault="000B5DB7" w:rsidP="00015CF2">
      <w:pPr>
        <w:pStyle w:val="Textoconsangra"/>
        <w:tabs>
          <w:tab w:val="right" w:leader="dot" w:pos="9240"/>
        </w:tabs>
        <w:rPr>
          <w:noProof/>
        </w:rPr>
      </w:pPr>
      <w:r w:rsidRPr="004D4040">
        <w:rPr>
          <w:i/>
          <w:noProof/>
        </w:rPr>
        <w:t>Military and Paramilitary Activities in and against Nicaragua</w:t>
      </w:r>
      <w:r>
        <w:rPr>
          <w:noProof/>
        </w:rPr>
        <w:t xml:space="preserve"> (</w:t>
      </w:r>
      <w:r w:rsidRPr="004D4040">
        <w:rPr>
          <w:i/>
          <w:noProof/>
        </w:rPr>
        <w:t>Nicaragua v. USA</w:t>
      </w:r>
      <w:r>
        <w:rPr>
          <w:noProof/>
        </w:rPr>
        <w:t>) (Judgment) [1986] ICJ Rep 138</w:t>
      </w:r>
      <w:r>
        <w:rPr>
          <w:noProof/>
        </w:rPr>
        <w:tab/>
        <w:t>36</w:t>
      </w:r>
    </w:p>
    <w:p w14:paraId="653651EA" w14:textId="77777777" w:rsidR="000B5DB7" w:rsidRDefault="000B5DB7" w:rsidP="00015CF2">
      <w:pPr>
        <w:pStyle w:val="Textoconsangra"/>
        <w:tabs>
          <w:tab w:val="right" w:leader="dot" w:pos="9240"/>
        </w:tabs>
        <w:rPr>
          <w:noProof/>
        </w:rPr>
      </w:pPr>
      <w:r w:rsidRPr="004D4040">
        <w:rPr>
          <w:i/>
          <w:noProof/>
        </w:rPr>
        <w:t>Nationality Decrees Issued in Tunis and Morocco</w:t>
      </w:r>
      <w:r>
        <w:rPr>
          <w:noProof/>
        </w:rPr>
        <w:t xml:space="preserve"> (Advisory Opinion) (1923) PCIJ Series B No. 4</w:t>
      </w:r>
      <w:r>
        <w:rPr>
          <w:noProof/>
        </w:rPr>
        <w:tab/>
        <w:t>22</w:t>
      </w:r>
    </w:p>
    <w:p w14:paraId="6FF16A34" w14:textId="77777777" w:rsidR="000B5DB7" w:rsidRDefault="000B5DB7" w:rsidP="00015CF2">
      <w:pPr>
        <w:pStyle w:val="Textoconsangra"/>
        <w:tabs>
          <w:tab w:val="right" w:leader="dot" w:pos="9240"/>
        </w:tabs>
        <w:rPr>
          <w:noProof/>
        </w:rPr>
      </w:pPr>
      <w:r w:rsidRPr="004D4040">
        <w:rPr>
          <w:i/>
          <w:noProof/>
        </w:rPr>
        <w:t xml:space="preserve">Nottebohm Case </w:t>
      </w:r>
      <w:r>
        <w:rPr>
          <w:noProof/>
        </w:rPr>
        <w:t>(Liechtenstein v. Guatemala) (Second phase) [1955] ICJ Rep 4 [‘</w:t>
      </w:r>
      <w:r w:rsidRPr="004D4040">
        <w:rPr>
          <w:i/>
          <w:noProof/>
        </w:rPr>
        <w:t>Nottebohm</w:t>
      </w:r>
      <w:r>
        <w:rPr>
          <w:noProof/>
        </w:rPr>
        <w:t>’]</w:t>
      </w:r>
      <w:r>
        <w:rPr>
          <w:noProof/>
        </w:rPr>
        <w:tab/>
        <w:t>22, 23, 24, 25</w:t>
      </w:r>
    </w:p>
    <w:p w14:paraId="1B8431D2" w14:textId="77777777" w:rsidR="000B5DB7" w:rsidRDefault="000B5DB7" w:rsidP="00015CF2">
      <w:pPr>
        <w:pStyle w:val="Textoconsangra"/>
        <w:tabs>
          <w:tab w:val="right" w:leader="dot" w:pos="9240"/>
        </w:tabs>
        <w:rPr>
          <w:noProof/>
        </w:rPr>
      </w:pPr>
      <w:r w:rsidRPr="004D4040">
        <w:rPr>
          <w:i/>
          <w:noProof/>
        </w:rPr>
        <w:t xml:space="preserve">Questions of Interpretation and Application of the 1971 Montreal Convention arising from the Aerial Incident at Lockerbie (Libyan Arab Jamahiriya v. USA) </w:t>
      </w:r>
      <w:r>
        <w:rPr>
          <w:noProof/>
        </w:rPr>
        <w:t>(Dissenting Opinion by Judge Weeramantry) [1992] ICJ Rep 65</w:t>
      </w:r>
      <w:r>
        <w:rPr>
          <w:noProof/>
        </w:rPr>
        <w:tab/>
        <w:t>30</w:t>
      </w:r>
    </w:p>
    <w:p w14:paraId="3978128A" w14:textId="77777777" w:rsidR="000B5DB7" w:rsidRDefault="000B5DB7" w:rsidP="00015CF2">
      <w:pPr>
        <w:pStyle w:val="Textoconsangra"/>
        <w:tabs>
          <w:tab w:val="right" w:leader="dot" w:pos="9240"/>
        </w:tabs>
        <w:rPr>
          <w:noProof/>
        </w:rPr>
      </w:pPr>
      <w:r w:rsidRPr="004D4040">
        <w:rPr>
          <w:i/>
          <w:noProof/>
        </w:rPr>
        <w:t xml:space="preserve">Questions of Interpretation and Application of the 1971 Montreal Convention arising from the Aerial Incident at Lockerbie (Libyan Arab Jamahiriya v. USA) </w:t>
      </w:r>
      <w:r>
        <w:rPr>
          <w:noProof/>
        </w:rPr>
        <w:t>(Provisional measures) [1992] ICJ Rep 126</w:t>
      </w:r>
      <w:r>
        <w:rPr>
          <w:noProof/>
        </w:rPr>
        <w:tab/>
        <w:t>33</w:t>
      </w:r>
    </w:p>
    <w:p w14:paraId="4E6C1C63" w14:textId="77777777" w:rsidR="000B5DB7" w:rsidRDefault="000B5DB7" w:rsidP="00015CF2">
      <w:pPr>
        <w:pStyle w:val="Textoconsangra"/>
        <w:tabs>
          <w:tab w:val="right" w:leader="dot" w:pos="9240"/>
        </w:tabs>
        <w:rPr>
          <w:noProof/>
        </w:rPr>
      </w:pPr>
      <w:r w:rsidRPr="004D4040">
        <w:rPr>
          <w:i/>
          <w:noProof/>
          <w:highlight w:val="white"/>
        </w:rPr>
        <w:t>Questions relating to the Obligation to Prosecute or Extradite</w:t>
      </w:r>
      <w:r w:rsidRPr="004D4040">
        <w:rPr>
          <w:noProof/>
          <w:highlight w:val="white"/>
        </w:rPr>
        <w:t xml:space="preserve"> (Belgium v Senegal) (Judgment) [2012] [</w:t>
      </w:r>
      <w:r w:rsidRPr="004D4040">
        <w:rPr>
          <w:i/>
          <w:noProof/>
          <w:highlight w:val="white"/>
        </w:rPr>
        <w:t>‘Belgium v Senegal’</w:t>
      </w:r>
      <w:r w:rsidRPr="004D4040">
        <w:rPr>
          <w:noProof/>
          <w:highlight w:val="white"/>
        </w:rPr>
        <w:t>] ICJ Rep 450</w:t>
      </w:r>
      <w:r>
        <w:rPr>
          <w:noProof/>
        </w:rPr>
        <w:tab/>
        <w:t>1, 2, 4</w:t>
      </w:r>
    </w:p>
    <w:p w14:paraId="2489DD28" w14:textId="77777777" w:rsidR="000B5DB7" w:rsidRDefault="000B5DB7" w:rsidP="00015CF2">
      <w:pPr>
        <w:pStyle w:val="Textoconsangra"/>
        <w:tabs>
          <w:tab w:val="right" w:leader="dot" w:pos="9240"/>
        </w:tabs>
        <w:rPr>
          <w:noProof/>
        </w:rPr>
      </w:pPr>
      <w:r w:rsidRPr="004D4040">
        <w:rPr>
          <w:i/>
          <w:noProof/>
        </w:rPr>
        <w:t>Reparation for Injuries Suffered in Service of United Nations</w:t>
      </w:r>
      <w:r>
        <w:rPr>
          <w:noProof/>
        </w:rPr>
        <w:t xml:space="preserve"> (Advisory Opinion) [1949] [‘</w:t>
      </w:r>
      <w:r w:rsidRPr="004D4040">
        <w:rPr>
          <w:i/>
          <w:noProof/>
        </w:rPr>
        <w:t>Reparation for Injuries’</w:t>
      </w:r>
      <w:r>
        <w:rPr>
          <w:noProof/>
        </w:rPr>
        <w:t>] ICJ Rep 184</w:t>
      </w:r>
      <w:r>
        <w:rPr>
          <w:noProof/>
        </w:rPr>
        <w:tab/>
        <w:t>31</w:t>
      </w:r>
    </w:p>
    <w:p w14:paraId="57F5FD2E" w14:textId="77777777" w:rsidR="000B5DB7" w:rsidRDefault="000B5DB7" w:rsidP="00015CF2">
      <w:pPr>
        <w:pStyle w:val="Textoconsangra"/>
        <w:tabs>
          <w:tab w:val="right" w:leader="dot" w:pos="9240"/>
        </w:tabs>
        <w:rPr>
          <w:noProof/>
        </w:rPr>
      </w:pPr>
      <w:r w:rsidRPr="004D4040">
        <w:rPr>
          <w:i/>
          <w:noProof/>
          <w:highlight w:val="white"/>
        </w:rPr>
        <w:t>Reservations to the Convention on the Prevention and Punishment of the Crime of Genocide</w:t>
      </w:r>
      <w:r w:rsidRPr="004D4040">
        <w:rPr>
          <w:noProof/>
          <w:highlight w:val="white"/>
        </w:rPr>
        <w:t xml:space="preserve"> (Advisory Opinion) </w:t>
      </w:r>
      <w:r>
        <w:rPr>
          <w:noProof/>
        </w:rPr>
        <w:t>[1951] [</w:t>
      </w:r>
      <w:r w:rsidRPr="004D4040">
        <w:rPr>
          <w:i/>
          <w:noProof/>
        </w:rPr>
        <w:t>‘</w:t>
      </w:r>
      <w:r w:rsidRPr="004D4040">
        <w:rPr>
          <w:i/>
          <w:noProof/>
          <w:highlight w:val="white"/>
        </w:rPr>
        <w:t>Genocide Reservations</w:t>
      </w:r>
      <w:r w:rsidRPr="004D4040">
        <w:rPr>
          <w:i/>
          <w:noProof/>
        </w:rPr>
        <w:t>’</w:t>
      </w:r>
      <w:r>
        <w:rPr>
          <w:noProof/>
        </w:rPr>
        <w:t xml:space="preserve">] </w:t>
      </w:r>
      <w:r w:rsidRPr="004D4040">
        <w:rPr>
          <w:noProof/>
          <w:highlight w:val="white"/>
        </w:rPr>
        <w:t>ICJ Rep 23</w:t>
      </w:r>
      <w:r>
        <w:rPr>
          <w:noProof/>
        </w:rPr>
        <w:tab/>
        <w:t>2, 15</w:t>
      </w:r>
    </w:p>
    <w:p w14:paraId="12FEA9A7" w14:textId="77777777" w:rsidR="000B5DB7" w:rsidRDefault="000B5DB7" w:rsidP="00015CF2">
      <w:pPr>
        <w:pStyle w:val="Textoconsangra"/>
        <w:tabs>
          <w:tab w:val="right" w:leader="dot" w:pos="9240"/>
        </w:tabs>
        <w:rPr>
          <w:noProof/>
        </w:rPr>
      </w:pPr>
      <w:r w:rsidRPr="004D4040">
        <w:rPr>
          <w:i/>
          <w:noProof/>
          <w:highlight w:val="white"/>
        </w:rPr>
        <w:t>S.S. Wimbledon</w:t>
      </w:r>
      <w:r w:rsidRPr="004D4040">
        <w:rPr>
          <w:noProof/>
          <w:highlight w:val="white"/>
        </w:rPr>
        <w:t xml:space="preserve"> case (United Kingdom, France, Italy, Japan v. Germany) (Judgment) (1923) PCIJ Series A, No. 1,</w:t>
      </w:r>
      <w:r>
        <w:rPr>
          <w:noProof/>
        </w:rPr>
        <w:tab/>
        <w:t>2</w:t>
      </w:r>
    </w:p>
    <w:p w14:paraId="4EBF1A46" w14:textId="77777777" w:rsidR="000B5DB7" w:rsidRDefault="000B5DB7" w:rsidP="00015CF2">
      <w:pPr>
        <w:pStyle w:val="Textoconsangra"/>
        <w:tabs>
          <w:tab w:val="right" w:leader="dot" w:pos="9240"/>
        </w:tabs>
        <w:rPr>
          <w:noProof/>
        </w:rPr>
      </w:pPr>
      <w:r w:rsidRPr="004D4040">
        <w:rPr>
          <w:i/>
          <w:noProof/>
        </w:rPr>
        <w:t xml:space="preserve">Sovereignty over Pulau Ligitan and Pulau Sipadan </w:t>
      </w:r>
      <w:r>
        <w:rPr>
          <w:noProof/>
        </w:rPr>
        <w:t>(</w:t>
      </w:r>
      <w:r w:rsidRPr="004D4040">
        <w:rPr>
          <w:i/>
          <w:noProof/>
        </w:rPr>
        <w:t>Indonesia v Malaysia</w:t>
      </w:r>
      <w:r>
        <w:rPr>
          <w:noProof/>
        </w:rPr>
        <w:t>) (Merits) [2002] ICJ Rep 652</w:t>
      </w:r>
      <w:r>
        <w:rPr>
          <w:noProof/>
        </w:rPr>
        <w:tab/>
        <w:t>36</w:t>
      </w:r>
    </w:p>
    <w:p w14:paraId="44A7A3CA" w14:textId="77777777" w:rsidR="000B5DB7" w:rsidRDefault="000B5DB7" w:rsidP="00015CF2">
      <w:pPr>
        <w:pStyle w:val="Encabezadodelista"/>
        <w:tabs>
          <w:tab w:val="right" w:leader="dot" w:pos="9240"/>
        </w:tabs>
        <w:rPr>
          <w:rFonts w:asciiTheme="minorHAnsi" w:eastAsiaTheme="minorEastAsia" w:hAnsiTheme="minorHAnsi" w:cstheme="minorBidi"/>
          <w:b w:val="0"/>
          <w:bCs w:val="0"/>
          <w:noProof/>
          <w:sz w:val="22"/>
          <w:szCs w:val="22"/>
        </w:rPr>
      </w:pPr>
      <w:r>
        <w:fldChar w:fldCharType="end"/>
      </w:r>
      <w:r>
        <w:fldChar w:fldCharType="begin"/>
      </w:r>
      <w:r>
        <w:instrText xml:space="preserve"> TOA \h \c "2" </w:instrText>
      </w:r>
      <w:r>
        <w:fldChar w:fldCharType="separate"/>
      </w:r>
      <w:r>
        <w:rPr>
          <w:noProof/>
        </w:rPr>
        <w:t>INTERNATIONAL CONVENTIONS</w:t>
      </w:r>
    </w:p>
    <w:p w14:paraId="6E4346EF" w14:textId="77777777" w:rsidR="000B5DB7" w:rsidRDefault="000B5DB7" w:rsidP="00015CF2">
      <w:pPr>
        <w:pStyle w:val="Textoconsangra"/>
        <w:tabs>
          <w:tab w:val="right" w:leader="dot" w:pos="9240"/>
        </w:tabs>
        <w:rPr>
          <w:noProof/>
        </w:rPr>
      </w:pPr>
      <w:r>
        <w:rPr>
          <w:noProof/>
        </w:rPr>
        <w:t>African Charter on the Rights and Welfare of the Child (adopted 11 July 1990, entered into force 29 November 1999) CAB/LEG/24.9/49</w:t>
      </w:r>
      <w:r>
        <w:rPr>
          <w:noProof/>
        </w:rPr>
        <w:tab/>
        <w:t>7</w:t>
      </w:r>
    </w:p>
    <w:p w14:paraId="260534C3" w14:textId="77777777" w:rsidR="000B5DB7" w:rsidRDefault="000B5DB7" w:rsidP="00015CF2">
      <w:pPr>
        <w:pStyle w:val="Textoconsangra"/>
        <w:tabs>
          <w:tab w:val="right" w:leader="dot" w:pos="9240"/>
        </w:tabs>
        <w:rPr>
          <w:noProof/>
        </w:rPr>
      </w:pPr>
      <w:r>
        <w:rPr>
          <w:noProof/>
        </w:rPr>
        <w:t>American Convention on Human Rights (22 November 1969) 1144 UNTS 123</w:t>
      </w:r>
      <w:r>
        <w:rPr>
          <w:noProof/>
        </w:rPr>
        <w:tab/>
        <w:t>7</w:t>
      </w:r>
    </w:p>
    <w:p w14:paraId="30C5F315" w14:textId="77777777" w:rsidR="000B5DB7" w:rsidRDefault="000B5DB7" w:rsidP="00015CF2">
      <w:pPr>
        <w:pStyle w:val="Textoconsangra"/>
        <w:tabs>
          <w:tab w:val="right" w:leader="dot" w:pos="9240"/>
        </w:tabs>
        <w:rPr>
          <w:noProof/>
        </w:rPr>
      </w:pPr>
      <w:r>
        <w:rPr>
          <w:noProof/>
        </w:rPr>
        <w:t>Arab Charter on Human Rights (adopted 15 September 1994) League of Arab States</w:t>
      </w:r>
      <w:r>
        <w:rPr>
          <w:noProof/>
        </w:rPr>
        <w:tab/>
        <w:t>7</w:t>
      </w:r>
    </w:p>
    <w:p w14:paraId="350B4917" w14:textId="1D087FAB" w:rsidR="000B5DB7" w:rsidRDefault="000B5DB7" w:rsidP="00015CF2">
      <w:pPr>
        <w:pStyle w:val="Textoconsangra"/>
        <w:tabs>
          <w:tab w:val="right" w:leader="dot" w:pos="9240"/>
        </w:tabs>
        <w:rPr>
          <w:noProof/>
        </w:rPr>
      </w:pPr>
      <w:r>
        <w:rPr>
          <w:noProof/>
        </w:rPr>
        <w:lastRenderedPageBreak/>
        <w:t>Charter of the United Nations (adopted 26 June 1945, entered into force 24 October 1945) 1 UNTS. XVI [‘UN Charter’]</w:t>
      </w:r>
      <w:r>
        <w:rPr>
          <w:noProof/>
        </w:rPr>
        <w:tab/>
        <w:t>30, 31, 32, 33, 34</w:t>
      </w:r>
    </w:p>
    <w:p w14:paraId="0CFFD6BE" w14:textId="15599F91" w:rsidR="000B5DB7" w:rsidRDefault="000B5DB7" w:rsidP="00015CF2">
      <w:pPr>
        <w:pStyle w:val="Textoconsangra"/>
        <w:tabs>
          <w:tab w:val="right" w:leader="dot" w:pos="9240"/>
        </w:tabs>
        <w:rPr>
          <w:noProof/>
        </w:rPr>
      </w:pPr>
      <w:r>
        <w:rPr>
          <w:noProof/>
        </w:rPr>
        <w:t>Convention on Privileges and Immunities of the United Nations (adopted 13 February 1946, entered into force 17 September 1946) 1 UNTS 15 [‘CPI’]</w:t>
      </w:r>
      <w:r>
        <w:rPr>
          <w:noProof/>
        </w:rPr>
        <w:tab/>
        <w:t>31, 32</w:t>
      </w:r>
    </w:p>
    <w:p w14:paraId="4DDDF344" w14:textId="77777777" w:rsidR="000B5DB7" w:rsidRDefault="000B5DB7" w:rsidP="00015CF2">
      <w:pPr>
        <w:pStyle w:val="Textoconsangra"/>
        <w:tabs>
          <w:tab w:val="right" w:leader="dot" w:pos="9240"/>
        </w:tabs>
        <w:rPr>
          <w:noProof/>
        </w:rPr>
      </w:pPr>
      <w:r w:rsidRPr="00D92639">
        <w:rPr>
          <w:noProof/>
          <w:highlight w:val="white"/>
        </w:rPr>
        <w:t xml:space="preserve">Convention on the Reduction of Statelessness, (adopted 30 August 1961, </w:t>
      </w:r>
      <w:r>
        <w:rPr>
          <w:noProof/>
        </w:rPr>
        <w:t xml:space="preserve">entered into force </w:t>
      </w:r>
      <w:r w:rsidRPr="00D92639">
        <w:rPr>
          <w:noProof/>
          <w:highlight w:val="white"/>
        </w:rPr>
        <w:t>13 December 1975) 989 UNTS 175 [‘CRS’]</w:t>
      </w:r>
      <w:r>
        <w:rPr>
          <w:noProof/>
        </w:rPr>
        <w:tab/>
        <w:t>2, 3, 7, 9, 10, 11, 13, 14, 15</w:t>
      </w:r>
    </w:p>
    <w:p w14:paraId="56CA530A" w14:textId="77777777" w:rsidR="000B5DB7" w:rsidRDefault="000B5DB7" w:rsidP="00015CF2">
      <w:pPr>
        <w:pStyle w:val="Textoconsangra"/>
        <w:tabs>
          <w:tab w:val="right" w:leader="dot" w:pos="9240"/>
        </w:tabs>
        <w:rPr>
          <w:noProof/>
        </w:rPr>
      </w:pPr>
      <w:r>
        <w:rPr>
          <w:noProof/>
        </w:rPr>
        <w:t>European Convention on Nationality (adopted 6 November 1997, entered into force 1 March 2000) ETS 166 [‘European Convention on Nationality’]</w:t>
      </w:r>
      <w:r>
        <w:rPr>
          <w:noProof/>
        </w:rPr>
        <w:tab/>
        <w:t>7, 22</w:t>
      </w:r>
    </w:p>
    <w:p w14:paraId="2AE09095" w14:textId="2FD83DBA" w:rsidR="000B5DB7" w:rsidRDefault="000B5DB7" w:rsidP="00015CF2">
      <w:pPr>
        <w:pStyle w:val="Textoconsangra"/>
        <w:tabs>
          <w:tab w:val="right" w:leader="dot" w:pos="9240"/>
        </w:tabs>
        <w:rPr>
          <w:noProof/>
        </w:rPr>
      </w:pPr>
      <w:r w:rsidRPr="00D92639">
        <w:rPr>
          <w:noProof/>
          <w:highlight w:val="white"/>
        </w:rPr>
        <w:t>International Covenant on Civil and Political Rights (adopted 16 December 1966, entered into force 23 March 1976) 999 UNTS 171 [‘ICCPR’]</w:t>
      </w:r>
      <w:r>
        <w:rPr>
          <w:noProof/>
        </w:rPr>
        <w:tab/>
        <w:t>1, 4, 5, 7, 8, 9, 14, 15, 16, 17</w:t>
      </w:r>
    </w:p>
    <w:p w14:paraId="041777D4" w14:textId="0EEFCAE9" w:rsidR="000B5DB7" w:rsidRDefault="000B5DB7" w:rsidP="00015CF2">
      <w:pPr>
        <w:pStyle w:val="Textoconsangra"/>
        <w:tabs>
          <w:tab w:val="right" w:leader="dot" w:pos="9240"/>
        </w:tabs>
        <w:rPr>
          <w:noProof/>
        </w:rPr>
      </w:pPr>
      <w:r>
        <w:rPr>
          <w:noProof/>
        </w:rPr>
        <w:t>Vienna Convention on Consular Relations (adopted 24 April 1963, entered into force 19 March 1967) 596 UNTS 261 [‘VCCR’]</w:t>
      </w:r>
      <w:r>
        <w:rPr>
          <w:noProof/>
        </w:rPr>
        <w:tab/>
        <w:t>21, 25, 26, 27, 28</w:t>
      </w:r>
    </w:p>
    <w:p w14:paraId="135CAF60" w14:textId="77777777" w:rsidR="000B5DB7" w:rsidRDefault="000B5DB7" w:rsidP="00015CF2">
      <w:pPr>
        <w:pStyle w:val="Textoconsangra"/>
        <w:tabs>
          <w:tab w:val="right" w:leader="dot" w:pos="9240"/>
        </w:tabs>
        <w:rPr>
          <w:noProof/>
        </w:rPr>
      </w:pPr>
      <w:r w:rsidRPr="00D92639">
        <w:rPr>
          <w:noProof/>
          <w:highlight w:val="white"/>
        </w:rPr>
        <w:t>Vienna Convention on the Law of Treaties (adopted 23 May 1969) 1155 UNTS 331 [‘VCLT’]</w:t>
      </w:r>
      <w:r>
        <w:rPr>
          <w:noProof/>
        </w:rPr>
        <w:tab/>
        <w:t>3, 14, 15, 21, 35, 36, 37</w:t>
      </w:r>
    </w:p>
    <w:p w14:paraId="66BA9C75" w14:textId="77777777" w:rsidR="00AE7683" w:rsidRDefault="000B5DB7" w:rsidP="00015CF2">
      <w:pPr>
        <w:pStyle w:val="Encabezadodelista"/>
        <w:tabs>
          <w:tab w:val="right" w:leader="dot" w:pos="9240"/>
        </w:tabs>
        <w:rPr>
          <w:rFonts w:asciiTheme="minorHAnsi" w:eastAsiaTheme="minorEastAsia" w:hAnsiTheme="minorHAnsi" w:cstheme="minorBidi"/>
          <w:b w:val="0"/>
          <w:bCs w:val="0"/>
          <w:noProof/>
          <w:sz w:val="22"/>
          <w:szCs w:val="22"/>
        </w:rPr>
      </w:pPr>
      <w:r>
        <w:fldChar w:fldCharType="end"/>
      </w:r>
      <w:r w:rsidR="00AE7683">
        <w:fldChar w:fldCharType="begin"/>
      </w:r>
      <w:r w:rsidR="00AE7683">
        <w:instrText xml:space="preserve"> TOA \h \c "3" </w:instrText>
      </w:r>
      <w:r w:rsidR="00AE7683">
        <w:fldChar w:fldCharType="separate"/>
      </w:r>
      <w:r w:rsidR="00AE7683">
        <w:rPr>
          <w:noProof/>
        </w:rPr>
        <w:t>UNITED NATIONS DOCUMENTS</w:t>
      </w:r>
    </w:p>
    <w:p w14:paraId="20113502" w14:textId="77777777" w:rsidR="00AE7683" w:rsidRDefault="00AE7683" w:rsidP="00015CF2">
      <w:pPr>
        <w:pStyle w:val="Textoconsangra"/>
        <w:tabs>
          <w:tab w:val="right" w:leader="dot" w:pos="9240"/>
        </w:tabs>
        <w:rPr>
          <w:noProof/>
        </w:rPr>
      </w:pPr>
      <w:r>
        <w:rPr>
          <w:noProof/>
        </w:rPr>
        <w:t>‘United Nations Conference on the Elimination or Reduction of Future statelessness’ (11 October 1961) UN Doc A/CONF.9/SR.21, [‘CRS, Art 8(3) travaux préparatoires</w:t>
      </w:r>
      <w:r w:rsidRPr="00647686">
        <w:rPr>
          <w:i/>
          <w:noProof/>
        </w:rPr>
        <w:t>’</w:t>
      </w:r>
      <w:r>
        <w:rPr>
          <w:noProof/>
        </w:rPr>
        <w:t>]</w:t>
      </w:r>
      <w:r>
        <w:rPr>
          <w:noProof/>
        </w:rPr>
        <w:tab/>
        <w:t>11, 15</w:t>
      </w:r>
    </w:p>
    <w:p w14:paraId="4F2B54E8" w14:textId="77777777" w:rsidR="00AE7683" w:rsidRDefault="00AE7683" w:rsidP="00015CF2">
      <w:pPr>
        <w:pStyle w:val="Textoconsangra"/>
        <w:tabs>
          <w:tab w:val="right" w:leader="dot" w:pos="9240"/>
        </w:tabs>
        <w:rPr>
          <w:noProof/>
        </w:rPr>
      </w:pPr>
      <w:r w:rsidRPr="00647686">
        <w:rPr>
          <w:noProof/>
          <w:highlight w:val="white"/>
        </w:rPr>
        <w:t xml:space="preserve">‘United Nations Conference on the Elimination or Reduction of Future Statelessness’ </w:t>
      </w:r>
      <w:r>
        <w:rPr>
          <w:noProof/>
        </w:rPr>
        <w:t>(24 April 1961)</w:t>
      </w:r>
      <w:r w:rsidRPr="00647686">
        <w:rPr>
          <w:noProof/>
          <w:highlight w:val="white"/>
        </w:rPr>
        <w:t xml:space="preserve"> UN Doc A/CONF.9/C.1/SR.2</w:t>
      </w:r>
      <w:r>
        <w:rPr>
          <w:noProof/>
        </w:rPr>
        <w:tab/>
        <w:t>3, 15</w:t>
      </w:r>
    </w:p>
    <w:p w14:paraId="4C65378D" w14:textId="77777777" w:rsidR="00AE7683" w:rsidRDefault="00AE7683" w:rsidP="00015CF2">
      <w:pPr>
        <w:pStyle w:val="Textoconsangra"/>
        <w:tabs>
          <w:tab w:val="right" w:leader="dot" w:pos="9240"/>
        </w:tabs>
        <w:rPr>
          <w:noProof/>
        </w:rPr>
      </w:pPr>
      <w:r>
        <w:rPr>
          <w:noProof/>
        </w:rPr>
        <w:t>ECOSOC ‘A Study of statelessness: Deprivation of nationality should not be applied as a punishment’ UN Docs E/1112; E/1112/Add.1 (August 1949)</w:t>
      </w:r>
      <w:r>
        <w:rPr>
          <w:noProof/>
        </w:rPr>
        <w:tab/>
        <w:t>11</w:t>
      </w:r>
    </w:p>
    <w:p w14:paraId="6210EBF2" w14:textId="77777777" w:rsidR="00AE7683" w:rsidRDefault="00AE7683" w:rsidP="00015CF2">
      <w:pPr>
        <w:pStyle w:val="Textoconsangra"/>
        <w:tabs>
          <w:tab w:val="right" w:leader="dot" w:pos="9240"/>
        </w:tabs>
        <w:rPr>
          <w:noProof/>
        </w:rPr>
      </w:pPr>
      <w:r>
        <w:rPr>
          <w:noProof/>
        </w:rPr>
        <w:t>HRC, ‘Human rights and arbitrary deprivation of nationality: Report of the Secretary-General’ (14 December 2009) UN Doc A/HRC/13/34 [‘HRC 2009’]</w:t>
      </w:r>
      <w:r>
        <w:rPr>
          <w:noProof/>
        </w:rPr>
        <w:tab/>
        <w:t>12, 13</w:t>
      </w:r>
    </w:p>
    <w:p w14:paraId="3E3886F2" w14:textId="77777777" w:rsidR="00AE7683" w:rsidRDefault="00AE7683" w:rsidP="00015CF2">
      <w:pPr>
        <w:pStyle w:val="Textoconsangra"/>
        <w:tabs>
          <w:tab w:val="right" w:leader="dot" w:pos="9240"/>
        </w:tabs>
        <w:rPr>
          <w:noProof/>
        </w:rPr>
      </w:pPr>
      <w:r>
        <w:rPr>
          <w:noProof/>
        </w:rPr>
        <w:t>HRC, ‘The right to a nationality: equality in nationality rights in law and in practice’ (</w:t>
      </w:r>
      <w:r w:rsidRPr="00647686">
        <w:rPr>
          <w:noProof/>
          <w:highlight w:val="white"/>
        </w:rPr>
        <w:t>13 July 2023</w:t>
      </w:r>
      <w:r>
        <w:rPr>
          <w:noProof/>
        </w:rPr>
        <w:t>) UN Doc A/HRC/RES/53/16</w:t>
      </w:r>
      <w:r>
        <w:rPr>
          <w:noProof/>
        </w:rPr>
        <w:tab/>
        <w:t>30</w:t>
      </w:r>
    </w:p>
    <w:p w14:paraId="199DB833" w14:textId="77777777" w:rsidR="00AE7683" w:rsidRDefault="00AE7683" w:rsidP="00015CF2">
      <w:pPr>
        <w:pStyle w:val="Textoconsangra"/>
        <w:tabs>
          <w:tab w:val="right" w:leader="dot" w:pos="9240"/>
        </w:tabs>
        <w:rPr>
          <w:noProof/>
        </w:rPr>
      </w:pPr>
      <w:r>
        <w:rPr>
          <w:noProof/>
        </w:rPr>
        <w:t>HRC, ’Human rights and arbitrary deprivation of nationality: Report of the Secretary-General’ (</w:t>
      </w:r>
      <w:r w:rsidRPr="00647686">
        <w:rPr>
          <w:noProof/>
          <w:highlight w:val="white"/>
        </w:rPr>
        <w:t>19 December 2013</w:t>
      </w:r>
      <w:r>
        <w:rPr>
          <w:noProof/>
        </w:rPr>
        <w:t>) UN Doc A/HRC/25/28 [‘HRC 2013’]</w:t>
      </w:r>
      <w:r>
        <w:rPr>
          <w:noProof/>
        </w:rPr>
        <w:tab/>
        <w:t>11</w:t>
      </w:r>
    </w:p>
    <w:p w14:paraId="52B03E8A" w14:textId="77777777" w:rsidR="00AE7683" w:rsidRDefault="00AE7683" w:rsidP="00015CF2">
      <w:pPr>
        <w:pStyle w:val="Textoconsangra"/>
        <w:tabs>
          <w:tab w:val="right" w:leader="dot" w:pos="9240"/>
        </w:tabs>
        <w:rPr>
          <w:noProof/>
        </w:rPr>
      </w:pPr>
      <w:r>
        <w:rPr>
          <w:noProof/>
        </w:rPr>
        <w:t>HRComm ‘Communication No 1472/2006- Sayadi and Vinck’ (29 December 2008) UN Doc CCPR/C/94/D/1472/2006</w:t>
      </w:r>
      <w:r>
        <w:rPr>
          <w:noProof/>
        </w:rPr>
        <w:tab/>
        <w:t>37</w:t>
      </w:r>
    </w:p>
    <w:p w14:paraId="4E5C0EF2" w14:textId="77777777" w:rsidR="00AE7683" w:rsidRPr="00AE7683" w:rsidRDefault="00AE7683" w:rsidP="00015CF2">
      <w:pPr>
        <w:pStyle w:val="Textoconsangra"/>
        <w:tabs>
          <w:tab w:val="right" w:leader="dot" w:pos="9240"/>
        </w:tabs>
        <w:rPr>
          <w:noProof/>
          <w:lang w:val="fr-CA"/>
        </w:rPr>
      </w:pPr>
      <w:r w:rsidRPr="00647686">
        <w:rPr>
          <w:noProof/>
          <w:lang w:val="fr-FR"/>
        </w:rPr>
        <w:t>HRComm ‘Communication No. 061/1979 - Leo Hertzberg et al. v. Finland’ (02 Apr 1982) UN Doc CCPR/C/OP/1</w:t>
      </w:r>
      <w:r w:rsidRPr="00AE7683">
        <w:rPr>
          <w:noProof/>
          <w:lang w:val="fr-CA"/>
        </w:rPr>
        <w:tab/>
        <w:t>18</w:t>
      </w:r>
    </w:p>
    <w:p w14:paraId="3CB63973" w14:textId="77777777" w:rsidR="00AE7683" w:rsidRPr="00AE7683" w:rsidRDefault="00AE7683" w:rsidP="00015CF2">
      <w:pPr>
        <w:pStyle w:val="Textoconsangra"/>
        <w:tabs>
          <w:tab w:val="right" w:leader="dot" w:pos="9240"/>
        </w:tabs>
        <w:rPr>
          <w:noProof/>
          <w:lang w:val="fr-CA"/>
        </w:rPr>
      </w:pPr>
      <w:r w:rsidRPr="00AE7683">
        <w:rPr>
          <w:noProof/>
          <w:color w:val="000000"/>
          <w:lang w:val="fr-CA"/>
        </w:rPr>
        <w:t>HRComm ‘Communication No. 1128/2002 - Marques de Morais v. Angola’ (29 March 2005) UN Doc CCPR/C/83/D/1128/2002</w:t>
      </w:r>
      <w:r w:rsidRPr="00AE7683">
        <w:rPr>
          <w:noProof/>
          <w:lang w:val="fr-CA"/>
        </w:rPr>
        <w:tab/>
        <w:t>19</w:t>
      </w:r>
    </w:p>
    <w:p w14:paraId="35C6BAF5" w14:textId="77777777" w:rsidR="00AE7683" w:rsidRDefault="00AE7683" w:rsidP="00015CF2">
      <w:pPr>
        <w:pStyle w:val="Textoconsangra"/>
        <w:tabs>
          <w:tab w:val="right" w:leader="dot" w:pos="9240"/>
        </w:tabs>
        <w:rPr>
          <w:noProof/>
        </w:rPr>
      </w:pPr>
      <w:r>
        <w:rPr>
          <w:noProof/>
        </w:rPr>
        <w:lastRenderedPageBreak/>
        <w:t xml:space="preserve">HRComm ‘Communication No. </w:t>
      </w:r>
      <w:r w:rsidRPr="00647686">
        <w:rPr>
          <w:noProof/>
          <w:color w:val="212529"/>
        </w:rPr>
        <w:t>2318/2013</w:t>
      </w:r>
      <w:r>
        <w:rPr>
          <w:noProof/>
        </w:rPr>
        <w:t xml:space="preserve"> - Kirill Nepomnyashchiy v Russia’ (</w:t>
      </w:r>
      <w:r w:rsidRPr="00647686">
        <w:rPr>
          <w:noProof/>
          <w:color w:val="212529"/>
          <w:highlight w:val="white"/>
        </w:rPr>
        <w:t>17 July 2018</w:t>
      </w:r>
      <w:r>
        <w:rPr>
          <w:noProof/>
        </w:rPr>
        <w:t>) UN Doc CCPR/C/123/D/2318/2013</w:t>
      </w:r>
      <w:r>
        <w:rPr>
          <w:noProof/>
        </w:rPr>
        <w:tab/>
        <w:t>18</w:t>
      </w:r>
    </w:p>
    <w:p w14:paraId="23FF1C1A" w14:textId="77777777" w:rsidR="00AE7683" w:rsidRDefault="00AE7683" w:rsidP="00015CF2">
      <w:pPr>
        <w:pStyle w:val="Textoconsangra"/>
        <w:tabs>
          <w:tab w:val="right" w:leader="dot" w:pos="9240"/>
        </w:tabs>
        <w:rPr>
          <w:noProof/>
        </w:rPr>
      </w:pPr>
      <w:r>
        <w:rPr>
          <w:noProof/>
        </w:rPr>
        <w:t>HRComm ‘Concluding observations on the second periodic report of Thailand’ (25 April 2017) UN Doc CCPR/C/THA/CO/2</w:t>
      </w:r>
      <w:r>
        <w:rPr>
          <w:noProof/>
        </w:rPr>
        <w:tab/>
        <w:t>10</w:t>
      </w:r>
    </w:p>
    <w:p w14:paraId="0CE5D5C9" w14:textId="77777777" w:rsidR="00AE7683" w:rsidRDefault="00AE7683" w:rsidP="00015CF2">
      <w:pPr>
        <w:pStyle w:val="Textoconsangra"/>
        <w:tabs>
          <w:tab w:val="right" w:leader="dot" w:pos="9240"/>
        </w:tabs>
        <w:rPr>
          <w:noProof/>
        </w:rPr>
      </w:pPr>
      <w:r>
        <w:rPr>
          <w:noProof/>
        </w:rPr>
        <w:t>HRComm ‘General Comment 24 - Article 41 of the ICCPR’ (</w:t>
      </w:r>
      <w:r w:rsidRPr="00647686">
        <w:rPr>
          <w:noProof/>
          <w:highlight w:val="white"/>
        </w:rPr>
        <w:t xml:space="preserve">4 November 1994) UN Doc CCPR/C/21/Rev.1/Add.6 </w:t>
      </w:r>
      <w:r>
        <w:rPr>
          <w:noProof/>
        </w:rPr>
        <w:t>[‘General Comment 24’]</w:t>
      </w:r>
      <w:r>
        <w:rPr>
          <w:noProof/>
        </w:rPr>
        <w:tab/>
        <w:t>14</w:t>
      </w:r>
    </w:p>
    <w:p w14:paraId="6847264E" w14:textId="77777777" w:rsidR="00AE7683" w:rsidRDefault="00AE7683" w:rsidP="00015CF2">
      <w:pPr>
        <w:pStyle w:val="Textoconsangra"/>
        <w:tabs>
          <w:tab w:val="right" w:leader="dot" w:pos="9240"/>
        </w:tabs>
        <w:rPr>
          <w:noProof/>
        </w:rPr>
      </w:pPr>
      <w:r>
        <w:rPr>
          <w:noProof/>
        </w:rPr>
        <w:t xml:space="preserve">HRComm ‘General Comment 27 - </w:t>
      </w:r>
      <w:r w:rsidRPr="00647686">
        <w:rPr>
          <w:noProof/>
          <w:highlight w:val="white"/>
        </w:rPr>
        <w:t>Article 12: Freedoms of Movement</w:t>
      </w:r>
      <w:r>
        <w:rPr>
          <w:noProof/>
        </w:rPr>
        <w:t>’ (</w:t>
      </w:r>
      <w:r w:rsidRPr="00647686">
        <w:rPr>
          <w:noProof/>
          <w:highlight w:val="white"/>
        </w:rPr>
        <w:t>2 November 1999) UN D</w:t>
      </w:r>
      <w:r>
        <w:rPr>
          <w:noProof/>
        </w:rPr>
        <w:t>oc CCPR/C/21/Rev.1/Add.9 [‘General Comment 27’]</w:t>
      </w:r>
      <w:r>
        <w:rPr>
          <w:noProof/>
        </w:rPr>
        <w:tab/>
        <w:t>10</w:t>
      </w:r>
    </w:p>
    <w:p w14:paraId="0C957793" w14:textId="77777777" w:rsidR="00AE7683" w:rsidRDefault="00AE7683" w:rsidP="00015CF2">
      <w:pPr>
        <w:pStyle w:val="Textoconsangra"/>
        <w:tabs>
          <w:tab w:val="right" w:leader="dot" w:pos="9240"/>
        </w:tabs>
        <w:rPr>
          <w:noProof/>
        </w:rPr>
      </w:pPr>
      <w:r>
        <w:rPr>
          <w:noProof/>
        </w:rPr>
        <w:t>HRComm ‘General Comment 31 - The Nature of the General Legal Obligation Imposed on States Parties to the Covenant’ (</w:t>
      </w:r>
      <w:r w:rsidRPr="00647686">
        <w:rPr>
          <w:noProof/>
          <w:highlight w:val="white"/>
        </w:rPr>
        <w:t xml:space="preserve">26 May 2004) UN Doc CCPR/C/21/Rev.1/Add. 13 </w:t>
      </w:r>
      <w:r>
        <w:rPr>
          <w:noProof/>
        </w:rPr>
        <w:t>[‘General Comment 31’]</w:t>
      </w:r>
      <w:r>
        <w:rPr>
          <w:noProof/>
        </w:rPr>
        <w:tab/>
        <w:t>4, 6</w:t>
      </w:r>
    </w:p>
    <w:p w14:paraId="5D18F1D5" w14:textId="77777777" w:rsidR="00AE7683" w:rsidRDefault="00AE7683" w:rsidP="00015CF2">
      <w:pPr>
        <w:pStyle w:val="Textoconsangra"/>
        <w:tabs>
          <w:tab w:val="right" w:leader="dot" w:pos="9240"/>
        </w:tabs>
        <w:rPr>
          <w:noProof/>
        </w:rPr>
      </w:pPr>
      <w:r>
        <w:rPr>
          <w:noProof/>
        </w:rPr>
        <w:t xml:space="preserve">HRComm ‘General Comment 34 - </w:t>
      </w:r>
      <w:r w:rsidRPr="00647686">
        <w:rPr>
          <w:noProof/>
          <w:highlight w:val="white"/>
        </w:rPr>
        <w:t>Article 19: Freedoms of opinion and expression</w:t>
      </w:r>
      <w:r>
        <w:rPr>
          <w:noProof/>
        </w:rPr>
        <w:t>’ (</w:t>
      </w:r>
      <w:r w:rsidRPr="00647686">
        <w:rPr>
          <w:noProof/>
          <w:highlight w:val="white"/>
        </w:rPr>
        <w:t>12 September 2011) UN D</w:t>
      </w:r>
      <w:r>
        <w:rPr>
          <w:noProof/>
        </w:rPr>
        <w:t>oc CCPR/C/GC/34 [‘General Comment 34’]</w:t>
      </w:r>
      <w:r>
        <w:rPr>
          <w:noProof/>
        </w:rPr>
        <w:tab/>
        <w:t>5, 10, 18, 19</w:t>
      </w:r>
    </w:p>
    <w:p w14:paraId="21025165" w14:textId="77777777" w:rsidR="00AE7683" w:rsidRDefault="00AE7683" w:rsidP="00015CF2">
      <w:pPr>
        <w:pStyle w:val="Textoconsangra"/>
        <w:tabs>
          <w:tab w:val="right" w:leader="dot" w:pos="9240"/>
        </w:tabs>
        <w:rPr>
          <w:noProof/>
        </w:rPr>
      </w:pPr>
      <w:r>
        <w:rPr>
          <w:noProof/>
        </w:rPr>
        <w:t>HRComm ‘General Comment 37 - Article 21: Right of peaceful assembly’ (17 September 2020) UN Doc CCPR/C/GC/37 [‘General Comment 37’]</w:t>
      </w:r>
      <w:r>
        <w:rPr>
          <w:noProof/>
        </w:rPr>
        <w:tab/>
        <w:t>5, 17, 18</w:t>
      </w:r>
    </w:p>
    <w:p w14:paraId="70F9616F" w14:textId="77777777" w:rsidR="00AE7683" w:rsidRDefault="00AE7683" w:rsidP="00015CF2">
      <w:pPr>
        <w:pStyle w:val="Textoconsangra"/>
        <w:tabs>
          <w:tab w:val="right" w:leader="dot" w:pos="9240"/>
        </w:tabs>
        <w:rPr>
          <w:noProof/>
        </w:rPr>
      </w:pPr>
      <w:r>
        <w:rPr>
          <w:noProof/>
        </w:rPr>
        <w:t>UNGA ‘Declaration on Fact-Finding by the United Nations in the Field of the Maintenance of International Peace and Security’ (9 December 1991) UN Doc A/RES/45/59 [‘UNGA Res 4559’]</w:t>
      </w:r>
      <w:r>
        <w:rPr>
          <w:noProof/>
        </w:rPr>
        <w:tab/>
        <w:t>34</w:t>
      </w:r>
    </w:p>
    <w:p w14:paraId="2A1BE60C" w14:textId="77777777" w:rsidR="00AE7683" w:rsidRDefault="00AE7683" w:rsidP="00015CF2">
      <w:pPr>
        <w:pStyle w:val="Textoconsangra"/>
        <w:tabs>
          <w:tab w:val="right" w:leader="dot" w:pos="9240"/>
        </w:tabs>
        <w:rPr>
          <w:noProof/>
        </w:rPr>
      </w:pPr>
      <w:r>
        <w:rPr>
          <w:noProof/>
        </w:rPr>
        <w:t>UNGA ‘First report on diplomatic protection by John Dugard’ (7 March 2000) UN Doc A/CN.4/506, [‘John Dugard Report’]</w:t>
      </w:r>
      <w:r>
        <w:rPr>
          <w:noProof/>
        </w:rPr>
        <w:tab/>
        <w:t>23, 24, 25</w:t>
      </w:r>
    </w:p>
    <w:p w14:paraId="0B55249E" w14:textId="77777777" w:rsidR="00AE7683" w:rsidRDefault="00AE7683" w:rsidP="00015CF2">
      <w:pPr>
        <w:pStyle w:val="Textoconsangra"/>
        <w:tabs>
          <w:tab w:val="right" w:leader="dot" w:pos="9240"/>
        </w:tabs>
        <w:rPr>
          <w:noProof/>
        </w:rPr>
      </w:pPr>
      <w:r>
        <w:rPr>
          <w:noProof/>
        </w:rPr>
        <w:t xml:space="preserve">UNHCR ‘Guidelines on statelessness No. 5: Loss and Deprivation of Nationality under Articles 5-9 of the 1961 Convention on the Reduction of statelessness’ (Geneva May 2020) </w:t>
      </w:r>
      <w:r w:rsidRPr="00647686">
        <w:rPr>
          <w:noProof/>
          <w:highlight w:val="white"/>
        </w:rPr>
        <w:t>[‘UNHCR Guidelines No. 5’]</w:t>
      </w:r>
      <w:r>
        <w:rPr>
          <w:noProof/>
        </w:rPr>
        <w:tab/>
        <w:t>9, 11, 12, 13</w:t>
      </w:r>
    </w:p>
    <w:p w14:paraId="5C6A7519" w14:textId="77777777" w:rsidR="00AE7683" w:rsidRDefault="00AE7683" w:rsidP="00015CF2">
      <w:pPr>
        <w:pStyle w:val="Textoconsangra"/>
        <w:tabs>
          <w:tab w:val="right" w:leader="dot" w:pos="9240"/>
        </w:tabs>
        <w:rPr>
          <w:noProof/>
        </w:rPr>
      </w:pPr>
      <w:r>
        <w:rPr>
          <w:noProof/>
        </w:rPr>
        <w:t>UNHCR ‘Interpreting the 1961 statelessness Convention and Avoiding statelessness resulting from Loss and Deprivation of Nationality’ (Tunisia November 2013) [‘UNHCR Tunis Conclusions’]</w:t>
      </w:r>
      <w:r>
        <w:rPr>
          <w:noProof/>
        </w:rPr>
        <w:tab/>
        <w:t>11, 12, 14</w:t>
      </w:r>
    </w:p>
    <w:p w14:paraId="7B1B26A8" w14:textId="77777777" w:rsidR="00AE7683" w:rsidRDefault="00AE7683" w:rsidP="00015CF2">
      <w:pPr>
        <w:pStyle w:val="Textoconsangra"/>
        <w:tabs>
          <w:tab w:val="right" w:leader="dot" w:pos="9240"/>
        </w:tabs>
        <w:rPr>
          <w:noProof/>
        </w:rPr>
      </w:pPr>
      <w:r>
        <w:rPr>
          <w:noProof/>
        </w:rPr>
        <w:t>UNHCR, ‘Joint Conclusions of the 2nd Regional Conference on the Right to Legal Identity and Prevention of statelessness: Leaving No One Behind at Birth’ (6 September 2019)</w:t>
      </w:r>
      <w:r>
        <w:rPr>
          <w:noProof/>
        </w:rPr>
        <w:tab/>
        <w:t>7</w:t>
      </w:r>
    </w:p>
    <w:p w14:paraId="5BA6EE6B" w14:textId="77777777" w:rsidR="00AE7683" w:rsidRDefault="00AE7683" w:rsidP="00015CF2">
      <w:pPr>
        <w:pStyle w:val="Textoconsangra"/>
        <w:tabs>
          <w:tab w:val="right" w:leader="dot" w:pos="9240"/>
        </w:tabs>
        <w:rPr>
          <w:noProof/>
        </w:rPr>
      </w:pPr>
      <w:r>
        <w:rPr>
          <w:noProof/>
        </w:rPr>
        <w:t>United Nations Conference on International Organization (UNCIO) Vol.13, 710, Doc. 9. 33 (IV/2/42/ (2)) June 12, l945</w:t>
      </w:r>
      <w:r>
        <w:rPr>
          <w:noProof/>
        </w:rPr>
        <w:tab/>
        <w:t>30</w:t>
      </w:r>
    </w:p>
    <w:p w14:paraId="2E157496" w14:textId="77777777" w:rsidR="00AE7683" w:rsidRDefault="00AE7683" w:rsidP="00015CF2">
      <w:pPr>
        <w:pStyle w:val="Textoconsangra"/>
        <w:tabs>
          <w:tab w:val="right" w:leader="dot" w:pos="9240"/>
        </w:tabs>
        <w:rPr>
          <w:noProof/>
        </w:rPr>
      </w:pPr>
      <w:r>
        <w:rPr>
          <w:noProof/>
        </w:rPr>
        <w:t>United Nations Treaty Collection, ‘Declarations and Reservations to the 1961 Convention on the Reduction of statelessness’ (12 September 2023) [‘</w:t>
      </w:r>
      <w:r w:rsidRPr="00647686">
        <w:rPr>
          <w:i/>
          <w:noProof/>
        </w:rPr>
        <w:t>CRS Declarations and Reservations</w:t>
      </w:r>
      <w:r>
        <w:rPr>
          <w:noProof/>
        </w:rPr>
        <w:t>’]</w:t>
      </w:r>
      <w:r>
        <w:rPr>
          <w:noProof/>
        </w:rPr>
        <w:tab/>
        <w:t>15</w:t>
      </w:r>
    </w:p>
    <w:p w14:paraId="08265FAF" w14:textId="77777777" w:rsidR="00AE7683" w:rsidRDefault="00AE7683" w:rsidP="00015CF2">
      <w:pPr>
        <w:pStyle w:val="Textoconsangra"/>
        <w:tabs>
          <w:tab w:val="right" w:leader="dot" w:pos="9240"/>
        </w:tabs>
        <w:rPr>
          <w:noProof/>
        </w:rPr>
      </w:pPr>
      <w:r w:rsidRPr="00647686">
        <w:rPr>
          <w:noProof/>
          <w:highlight w:val="white"/>
        </w:rPr>
        <w:lastRenderedPageBreak/>
        <w:t>UNSC ‘</w:t>
      </w:r>
      <w:r w:rsidRPr="00647686">
        <w:rPr>
          <w:i/>
          <w:noProof/>
          <w:highlight w:val="white"/>
        </w:rPr>
        <w:t>Report And Recommendations Made By The Panel of Commissioners Concerning the Fifteenth Instalment of “E2” Claims</w:t>
      </w:r>
      <w:r w:rsidRPr="00647686">
        <w:rPr>
          <w:noProof/>
          <w:highlight w:val="white"/>
        </w:rPr>
        <w:t>’ (18 December 2003) UN Doc S/AC.26/2003/29</w:t>
      </w:r>
      <w:r>
        <w:rPr>
          <w:noProof/>
        </w:rPr>
        <w:tab/>
        <w:t>35</w:t>
      </w:r>
    </w:p>
    <w:p w14:paraId="43317119" w14:textId="77777777" w:rsidR="00AE7683" w:rsidRPr="00AE7683" w:rsidRDefault="00AE7683" w:rsidP="00015CF2">
      <w:pPr>
        <w:pStyle w:val="Textoconsangra"/>
        <w:tabs>
          <w:tab w:val="right" w:leader="dot" w:pos="9240"/>
        </w:tabs>
        <w:rPr>
          <w:noProof/>
          <w:lang w:val="fr-CA"/>
        </w:rPr>
      </w:pPr>
      <w:r w:rsidRPr="00AE7683">
        <w:rPr>
          <w:noProof/>
          <w:lang w:val="fr-CA"/>
        </w:rPr>
        <w:t>UNSC Res 189 (4 June 1964) UN Doc S/RES/189</w:t>
      </w:r>
      <w:r w:rsidRPr="00AE7683">
        <w:rPr>
          <w:noProof/>
          <w:lang w:val="fr-CA"/>
        </w:rPr>
        <w:tab/>
        <w:t>34</w:t>
      </w:r>
    </w:p>
    <w:p w14:paraId="5ACCB295" w14:textId="77777777" w:rsidR="00AE7683" w:rsidRPr="00AE7683" w:rsidRDefault="00AE7683" w:rsidP="00015CF2">
      <w:pPr>
        <w:pStyle w:val="Textoconsangra"/>
        <w:tabs>
          <w:tab w:val="right" w:leader="dot" w:pos="9240"/>
        </w:tabs>
        <w:rPr>
          <w:noProof/>
          <w:lang w:val="fr-CA"/>
        </w:rPr>
      </w:pPr>
      <w:r w:rsidRPr="00AE7683">
        <w:rPr>
          <w:noProof/>
          <w:lang w:val="fr-CA"/>
        </w:rPr>
        <w:t>UNSC Res 289 (23 November 1970) UN Doc S/RES/289</w:t>
      </w:r>
      <w:r w:rsidRPr="00AE7683">
        <w:rPr>
          <w:noProof/>
          <w:lang w:val="fr-CA"/>
        </w:rPr>
        <w:tab/>
        <w:t>34</w:t>
      </w:r>
    </w:p>
    <w:p w14:paraId="79EBEA8C" w14:textId="77777777" w:rsidR="00AE7683" w:rsidRPr="00AE7683" w:rsidRDefault="00AE7683" w:rsidP="00015CF2">
      <w:pPr>
        <w:pStyle w:val="Textoconsangra"/>
        <w:tabs>
          <w:tab w:val="right" w:leader="dot" w:pos="9240"/>
        </w:tabs>
        <w:rPr>
          <w:noProof/>
          <w:lang w:val="fr-CA"/>
        </w:rPr>
      </w:pPr>
      <w:r w:rsidRPr="00AE7683">
        <w:rPr>
          <w:noProof/>
          <w:lang w:val="fr-CA"/>
        </w:rPr>
        <w:t>UNSC Res 294 (15 July 1971) UN Doc S/RES/294</w:t>
      </w:r>
      <w:r w:rsidRPr="00AE7683">
        <w:rPr>
          <w:noProof/>
          <w:lang w:val="fr-CA"/>
        </w:rPr>
        <w:tab/>
        <w:t>34</w:t>
      </w:r>
    </w:p>
    <w:p w14:paraId="6A91F6B1" w14:textId="77777777" w:rsidR="00AE7683" w:rsidRPr="00AE7683" w:rsidRDefault="00AE7683" w:rsidP="00015CF2">
      <w:pPr>
        <w:pStyle w:val="Textoconsangra"/>
        <w:tabs>
          <w:tab w:val="right" w:leader="dot" w:pos="9240"/>
        </w:tabs>
        <w:rPr>
          <w:noProof/>
          <w:lang w:val="fr-CA"/>
        </w:rPr>
      </w:pPr>
      <w:r w:rsidRPr="00AE7683">
        <w:rPr>
          <w:noProof/>
          <w:lang w:val="fr-CA"/>
        </w:rPr>
        <w:t>UNSC Res 295 (3 August 1971) UN Doc S/RES/295</w:t>
      </w:r>
      <w:r w:rsidRPr="00AE7683">
        <w:rPr>
          <w:noProof/>
          <w:lang w:val="fr-CA"/>
        </w:rPr>
        <w:tab/>
        <w:t>34</w:t>
      </w:r>
    </w:p>
    <w:p w14:paraId="7CB1CBA0" w14:textId="77777777" w:rsidR="00AE7683" w:rsidRDefault="00AE7683" w:rsidP="00015CF2">
      <w:pPr>
        <w:pStyle w:val="Textoconsangra"/>
        <w:tabs>
          <w:tab w:val="right" w:leader="dot" w:pos="9240"/>
        </w:tabs>
        <w:rPr>
          <w:noProof/>
        </w:rPr>
      </w:pPr>
      <w:r>
        <w:rPr>
          <w:noProof/>
        </w:rPr>
        <w:t>UNSC Res 326 (2 February 1973) UN Doc S/RES/326</w:t>
      </w:r>
      <w:r>
        <w:rPr>
          <w:noProof/>
        </w:rPr>
        <w:tab/>
        <w:t>34</w:t>
      </w:r>
    </w:p>
    <w:p w14:paraId="66F19C92" w14:textId="4BDDA579" w:rsidR="000B5DB7" w:rsidRDefault="00AE7683" w:rsidP="00015CF2">
      <w:pPr>
        <w:pStyle w:val="Encabezadodelista"/>
        <w:tabs>
          <w:tab w:val="right" w:leader="dot" w:pos="9240"/>
        </w:tabs>
        <w:rPr>
          <w:rFonts w:asciiTheme="minorHAnsi" w:eastAsiaTheme="minorEastAsia" w:hAnsiTheme="minorHAnsi" w:cstheme="minorBidi"/>
          <w:b w:val="0"/>
          <w:bCs w:val="0"/>
          <w:noProof/>
          <w:sz w:val="22"/>
          <w:szCs w:val="22"/>
        </w:rPr>
      </w:pPr>
      <w:r>
        <w:fldChar w:fldCharType="end"/>
      </w:r>
      <w:r w:rsidR="000B5DB7">
        <w:fldChar w:fldCharType="begin"/>
      </w:r>
      <w:r w:rsidR="000B5DB7">
        <w:instrText xml:space="preserve"> TOA \h \c "4" </w:instrText>
      </w:r>
      <w:r w:rsidR="000B5DB7">
        <w:fldChar w:fldCharType="separate"/>
      </w:r>
      <w:r w:rsidR="000B5DB7">
        <w:rPr>
          <w:noProof/>
        </w:rPr>
        <w:t>INTERNATIONAL CASES AND ARBITRAL AWARDS</w:t>
      </w:r>
    </w:p>
    <w:p w14:paraId="5E1078B6" w14:textId="77777777" w:rsidR="000B5DB7" w:rsidRDefault="000B5DB7" w:rsidP="00015CF2">
      <w:pPr>
        <w:pStyle w:val="Textoconsangra"/>
        <w:tabs>
          <w:tab w:val="right" w:leader="dot" w:pos="9240"/>
        </w:tabs>
        <w:rPr>
          <w:noProof/>
        </w:rPr>
      </w:pPr>
      <w:r w:rsidRPr="003473B7">
        <w:rPr>
          <w:i/>
          <w:noProof/>
        </w:rPr>
        <w:t>Alberto Carrizosa v. Colombia</w:t>
      </w:r>
      <w:r>
        <w:rPr>
          <w:noProof/>
        </w:rPr>
        <w:t>, PCA Case No. 2018-56 (2021) [</w:t>
      </w:r>
      <w:r w:rsidRPr="003473B7">
        <w:rPr>
          <w:i/>
          <w:noProof/>
        </w:rPr>
        <w:t>‘Carrizosa v. Colombia’</w:t>
      </w:r>
      <w:r>
        <w:rPr>
          <w:noProof/>
        </w:rPr>
        <w:t>]</w:t>
      </w:r>
      <w:r>
        <w:rPr>
          <w:noProof/>
        </w:rPr>
        <w:tab/>
        <w:t>23, 25</w:t>
      </w:r>
    </w:p>
    <w:p w14:paraId="38F3B8A2" w14:textId="77777777" w:rsidR="000B5DB7" w:rsidRDefault="000B5DB7" w:rsidP="00015CF2">
      <w:pPr>
        <w:pStyle w:val="Textoconsangra"/>
        <w:tabs>
          <w:tab w:val="right" w:leader="dot" w:pos="9240"/>
        </w:tabs>
        <w:rPr>
          <w:noProof/>
        </w:rPr>
      </w:pPr>
      <w:r w:rsidRPr="003473B7">
        <w:rPr>
          <w:i/>
          <w:noProof/>
        </w:rPr>
        <w:t>Anudo v Tanzania</w:t>
      </w:r>
      <w:r>
        <w:rPr>
          <w:noProof/>
        </w:rPr>
        <w:t xml:space="preserve"> (Judgement) ACtHPR App. No. 012/2015 </w:t>
      </w:r>
      <w:r w:rsidRPr="003473B7">
        <w:rPr>
          <w:noProof/>
          <w:highlight w:val="white"/>
        </w:rPr>
        <w:t>(22 March 2018)</w:t>
      </w:r>
      <w:r>
        <w:rPr>
          <w:noProof/>
        </w:rPr>
        <w:tab/>
        <w:t>12</w:t>
      </w:r>
    </w:p>
    <w:p w14:paraId="78FEE282" w14:textId="77777777" w:rsidR="000B5DB7" w:rsidRDefault="000B5DB7" w:rsidP="00015CF2">
      <w:pPr>
        <w:pStyle w:val="Textoconsangra"/>
        <w:tabs>
          <w:tab w:val="right" w:leader="dot" w:pos="9240"/>
        </w:tabs>
        <w:rPr>
          <w:noProof/>
        </w:rPr>
      </w:pPr>
      <w:r w:rsidRPr="003473B7">
        <w:rPr>
          <w:i/>
          <w:noProof/>
        </w:rPr>
        <w:t>Arctic Sunrise Arbitration</w:t>
      </w:r>
      <w:r>
        <w:rPr>
          <w:noProof/>
        </w:rPr>
        <w:t xml:space="preserve"> (Netherlands v Russian Federation) (Award on the Merits) [2015] PCA-2014-02</w:t>
      </w:r>
      <w:r>
        <w:rPr>
          <w:noProof/>
        </w:rPr>
        <w:tab/>
        <w:t>6</w:t>
      </w:r>
    </w:p>
    <w:p w14:paraId="65449640" w14:textId="77777777" w:rsidR="000B5DB7" w:rsidRDefault="000B5DB7" w:rsidP="00015CF2">
      <w:pPr>
        <w:pStyle w:val="Textoconsangra"/>
        <w:tabs>
          <w:tab w:val="right" w:leader="dot" w:pos="9240"/>
        </w:tabs>
        <w:rPr>
          <w:noProof/>
        </w:rPr>
      </w:pPr>
      <w:r w:rsidRPr="003473B7">
        <w:rPr>
          <w:i/>
          <w:noProof/>
          <w:highlight w:val="white"/>
        </w:rPr>
        <w:t xml:space="preserve">Belilos v. Switzerland </w:t>
      </w:r>
      <w:r w:rsidRPr="003473B7">
        <w:rPr>
          <w:noProof/>
          <w:highlight w:val="white"/>
        </w:rPr>
        <w:t>(Judgement) ECHR</w:t>
      </w:r>
      <w:r w:rsidRPr="003473B7">
        <w:rPr>
          <w:i/>
          <w:noProof/>
          <w:highlight w:val="white"/>
        </w:rPr>
        <w:t xml:space="preserve"> </w:t>
      </w:r>
      <w:r w:rsidRPr="003473B7">
        <w:rPr>
          <w:noProof/>
          <w:highlight w:val="white"/>
        </w:rPr>
        <w:t>App. No. 10328/83 (29 April 1988)</w:t>
      </w:r>
      <w:r>
        <w:rPr>
          <w:noProof/>
        </w:rPr>
        <w:tab/>
        <w:t>14</w:t>
      </w:r>
    </w:p>
    <w:p w14:paraId="13450D5D" w14:textId="77777777" w:rsidR="000B5DB7" w:rsidRDefault="000B5DB7" w:rsidP="00015CF2">
      <w:pPr>
        <w:pStyle w:val="Textoconsangra"/>
        <w:tabs>
          <w:tab w:val="right" w:leader="dot" w:pos="9240"/>
        </w:tabs>
        <w:rPr>
          <w:noProof/>
        </w:rPr>
      </w:pPr>
      <w:r w:rsidRPr="003473B7">
        <w:rPr>
          <w:i/>
          <w:noProof/>
        </w:rPr>
        <w:t>Bodalev v. Russia</w:t>
      </w:r>
      <w:r>
        <w:rPr>
          <w:noProof/>
        </w:rPr>
        <w:t xml:space="preserve"> (Judgement) ECHR</w:t>
      </w:r>
      <w:r w:rsidRPr="003473B7">
        <w:rPr>
          <w:i/>
          <w:noProof/>
        </w:rPr>
        <w:t xml:space="preserve"> </w:t>
      </w:r>
      <w:r>
        <w:rPr>
          <w:noProof/>
        </w:rPr>
        <w:t>App. No. 67200/12 (6 September 2022)</w:t>
      </w:r>
      <w:r>
        <w:rPr>
          <w:noProof/>
        </w:rPr>
        <w:tab/>
        <w:t>19</w:t>
      </w:r>
    </w:p>
    <w:p w14:paraId="5B1E62C7" w14:textId="77777777" w:rsidR="000B5DB7" w:rsidRDefault="000B5DB7" w:rsidP="00015CF2">
      <w:pPr>
        <w:pStyle w:val="Textoconsangra"/>
        <w:tabs>
          <w:tab w:val="right" w:leader="dot" w:pos="9240"/>
        </w:tabs>
        <w:rPr>
          <w:noProof/>
        </w:rPr>
      </w:pPr>
      <w:r w:rsidRPr="003473B7">
        <w:rPr>
          <w:i/>
          <w:noProof/>
        </w:rPr>
        <w:t>Case of Chaparro Álvarez and Lapo Íñiguez v. Ecuador</w:t>
      </w:r>
      <w:r>
        <w:rPr>
          <w:noProof/>
        </w:rPr>
        <w:t xml:space="preserve"> (Preliminary Objection, Merits, Reparations and Costs) IACtHR Series C No 189 (21 November 2007)</w:t>
      </w:r>
      <w:r>
        <w:rPr>
          <w:noProof/>
        </w:rPr>
        <w:tab/>
        <w:t>12</w:t>
      </w:r>
    </w:p>
    <w:p w14:paraId="37C05CC3" w14:textId="77777777" w:rsidR="000B5DB7" w:rsidRDefault="000B5DB7" w:rsidP="00015CF2">
      <w:pPr>
        <w:pStyle w:val="Textoconsangra"/>
        <w:tabs>
          <w:tab w:val="right" w:leader="dot" w:pos="9240"/>
        </w:tabs>
        <w:rPr>
          <w:noProof/>
        </w:rPr>
      </w:pPr>
      <w:r w:rsidRPr="003473B7">
        <w:rPr>
          <w:i/>
          <w:noProof/>
        </w:rPr>
        <w:t>Case of expelled Dominicans and Haitians v. Dominican Republic</w:t>
      </w:r>
      <w:r>
        <w:rPr>
          <w:noProof/>
        </w:rPr>
        <w:t xml:space="preserve"> (Preliminary Objections, Merits, Reparations, and Costs) IACtHR Series C No. 282 (28 August 2014)</w:t>
      </w:r>
      <w:r>
        <w:rPr>
          <w:noProof/>
        </w:rPr>
        <w:tab/>
        <w:t>30</w:t>
      </w:r>
    </w:p>
    <w:p w14:paraId="69B370F7" w14:textId="77777777" w:rsidR="000B5DB7" w:rsidRDefault="000B5DB7" w:rsidP="00015CF2">
      <w:pPr>
        <w:pStyle w:val="Textoconsangra"/>
        <w:tabs>
          <w:tab w:val="right" w:leader="dot" w:pos="9240"/>
        </w:tabs>
        <w:rPr>
          <w:noProof/>
        </w:rPr>
      </w:pPr>
      <w:r w:rsidRPr="003473B7">
        <w:rPr>
          <w:i/>
          <w:noProof/>
          <w:highlight w:val="white"/>
        </w:rPr>
        <w:t>Case of Ivcher-Bronstein v. Peru</w:t>
      </w:r>
      <w:r w:rsidRPr="003473B7">
        <w:rPr>
          <w:noProof/>
          <w:highlight w:val="white"/>
        </w:rPr>
        <w:t xml:space="preserve"> </w:t>
      </w:r>
      <w:r>
        <w:rPr>
          <w:noProof/>
        </w:rPr>
        <w:t>(Merits, Reparations and Costs) IACtHR Series C No. 74 (6 February 2001)</w:t>
      </w:r>
      <w:r>
        <w:rPr>
          <w:noProof/>
        </w:rPr>
        <w:tab/>
        <w:t>18</w:t>
      </w:r>
    </w:p>
    <w:p w14:paraId="2401A28D" w14:textId="77777777" w:rsidR="000B5DB7" w:rsidRDefault="000B5DB7" w:rsidP="00015CF2">
      <w:pPr>
        <w:pStyle w:val="Textoconsangra"/>
        <w:tabs>
          <w:tab w:val="right" w:leader="dot" w:pos="9240"/>
        </w:tabs>
        <w:rPr>
          <w:noProof/>
        </w:rPr>
      </w:pPr>
      <w:r w:rsidRPr="003473B7">
        <w:rPr>
          <w:i/>
          <w:noProof/>
          <w:highlight w:val="white"/>
        </w:rPr>
        <w:t xml:space="preserve">Case of The “Last Temptation of Christ” (Olmedo Bustos v. Chile) </w:t>
      </w:r>
      <w:r>
        <w:rPr>
          <w:noProof/>
        </w:rPr>
        <w:t>(Merits, Reparations and Costs) IACtHR Series C No. 73 (5 February 2001)</w:t>
      </w:r>
      <w:r>
        <w:rPr>
          <w:noProof/>
        </w:rPr>
        <w:tab/>
        <w:t>18</w:t>
      </w:r>
    </w:p>
    <w:p w14:paraId="6DC5C77F" w14:textId="77777777" w:rsidR="000B5DB7" w:rsidRDefault="000B5DB7" w:rsidP="00015CF2">
      <w:pPr>
        <w:pStyle w:val="Textoconsangra"/>
        <w:tabs>
          <w:tab w:val="right" w:leader="dot" w:pos="9240"/>
        </w:tabs>
        <w:rPr>
          <w:noProof/>
        </w:rPr>
      </w:pPr>
      <w:r w:rsidRPr="003473B7">
        <w:rPr>
          <w:i/>
          <w:noProof/>
        </w:rPr>
        <w:t xml:space="preserve">Case of the Girls Yean and Bosico v. Dominican Republic </w:t>
      </w:r>
      <w:r>
        <w:rPr>
          <w:noProof/>
        </w:rPr>
        <w:t>(Preliminary Objections, Merits, Reparations, and Costs) IACtHR Series C No. 130 (8 September 2005)</w:t>
      </w:r>
      <w:r>
        <w:rPr>
          <w:noProof/>
        </w:rPr>
        <w:tab/>
        <w:t>30</w:t>
      </w:r>
    </w:p>
    <w:p w14:paraId="57834FE4" w14:textId="77777777" w:rsidR="000B5DB7" w:rsidRDefault="000B5DB7" w:rsidP="00015CF2">
      <w:pPr>
        <w:pStyle w:val="Textoconsangra"/>
        <w:tabs>
          <w:tab w:val="right" w:leader="dot" w:pos="9240"/>
        </w:tabs>
        <w:rPr>
          <w:noProof/>
        </w:rPr>
      </w:pPr>
      <w:r w:rsidRPr="003473B7">
        <w:rPr>
          <w:i/>
          <w:noProof/>
        </w:rPr>
        <w:t>Case of Usón Ramírez v. Venezuela</w:t>
      </w:r>
      <w:r>
        <w:rPr>
          <w:noProof/>
        </w:rPr>
        <w:t xml:space="preserve"> (Preliminary Objection, Merits, Reparations and Costs) IACtHR Series C No. 207 (20 November 2009)</w:t>
      </w:r>
      <w:r>
        <w:rPr>
          <w:noProof/>
        </w:rPr>
        <w:tab/>
        <w:t>13</w:t>
      </w:r>
    </w:p>
    <w:p w14:paraId="639CC84D" w14:textId="77777777" w:rsidR="000B5DB7" w:rsidRDefault="000B5DB7" w:rsidP="00015CF2">
      <w:pPr>
        <w:pStyle w:val="Textoconsangra"/>
        <w:tabs>
          <w:tab w:val="right" w:leader="dot" w:pos="9240"/>
        </w:tabs>
        <w:rPr>
          <w:noProof/>
        </w:rPr>
      </w:pPr>
      <w:r w:rsidRPr="003473B7">
        <w:rPr>
          <w:i/>
          <w:noProof/>
          <w:highlight w:val="white"/>
        </w:rPr>
        <w:t xml:space="preserve">Delimitation of the Continental Shelf </w:t>
      </w:r>
      <w:r w:rsidRPr="003473B7">
        <w:rPr>
          <w:noProof/>
          <w:highlight w:val="white"/>
        </w:rPr>
        <w:t>(UK v France) (1979) 54 ILR 6</w:t>
      </w:r>
      <w:r>
        <w:rPr>
          <w:noProof/>
        </w:rPr>
        <w:tab/>
        <w:t>14</w:t>
      </w:r>
    </w:p>
    <w:p w14:paraId="10BD1016" w14:textId="77777777" w:rsidR="000B5DB7" w:rsidRDefault="000B5DB7" w:rsidP="00015CF2">
      <w:pPr>
        <w:pStyle w:val="Textoconsangra"/>
        <w:tabs>
          <w:tab w:val="right" w:leader="dot" w:pos="9240"/>
        </w:tabs>
        <w:rPr>
          <w:noProof/>
        </w:rPr>
      </w:pPr>
      <w:r w:rsidRPr="003473B7">
        <w:rPr>
          <w:i/>
          <w:noProof/>
        </w:rPr>
        <w:t>Flegenheimer Case</w:t>
      </w:r>
      <w:r>
        <w:rPr>
          <w:noProof/>
        </w:rPr>
        <w:t xml:space="preserve">, </w:t>
      </w:r>
      <w:r w:rsidRPr="003473B7">
        <w:rPr>
          <w:i/>
          <w:noProof/>
          <w:highlight w:val="white"/>
        </w:rPr>
        <w:t>(</w:t>
      </w:r>
      <w:r w:rsidRPr="003473B7">
        <w:rPr>
          <w:noProof/>
          <w:highlight w:val="white"/>
        </w:rPr>
        <w:t xml:space="preserve">Italy v United States) </w:t>
      </w:r>
      <w:r>
        <w:rPr>
          <w:noProof/>
        </w:rPr>
        <w:t>(1958) 14 UNRIAA 327</w:t>
      </w:r>
      <w:r>
        <w:rPr>
          <w:noProof/>
        </w:rPr>
        <w:tab/>
        <w:t>24</w:t>
      </w:r>
    </w:p>
    <w:p w14:paraId="401ED4DD" w14:textId="77777777" w:rsidR="000B5DB7" w:rsidRDefault="000B5DB7" w:rsidP="00015CF2">
      <w:pPr>
        <w:pStyle w:val="Textoconsangra"/>
        <w:tabs>
          <w:tab w:val="right" w:leader="dot" w:pos="9240"/>
        </w:tabs>
        <w:rPr>
          <w:noProof/>
        </w:rPr>
      </w:pPr>
      <w:r w:rsidRPr="000B5DB7">
        <w:rPr>
          <w:i/>
          <w:noProof/>
          <w:highlight w:val="white"/>
        </w:rPr>
        <w:t xml:space="preserve">Gul v. Turkey </w:t>
      </w:r>
      <w:r w:rsidRPr="000B5DB7">
        <w:rPr>
          <w:noProof/>
        </w:rPr>
        <w:t xml:space="preserve">(Judgement) </w:t>
      </w:r>
      <w:r w:rsidRPr="000B5DB7">
        <w:rPr>
          <w:noProof/>
          <w:highlight w:val="white"/>
        </w:rPr>
        <w:t xml:space="preserve">ECHR </w:t>
      </w:r>
      <w:r w:rsidRPr="000B5DB7">
        <w:rPr>
          <w:noProof/>
        </w:rPr>
        <w:t xml:space="preserve">App. No. </w:t>
      </w:r>
      <w:r w:rsidRPr="000B5DB7">
        <w:rPr>
          <w:noProof/>
          <w:highlight w:val="white"/>
        </w:rPr>
        <w:t>4870/02</w:t>
      </w:r>
      <w:r w:rsidRPr="000B5DB7">
        <w:rPr>
          <w:noProof/>
        </w:rPr>
        <w:t xml:space="preserve"> (</w:t>
      </w:r>
      <w:r w:rsidRPr="000B5DB7">
        <w:rPr>
          <w:noProof/>
          <w:highlight w:val="white"/>
        </w:rPr>
        <w:t>8 June 2010</w:t>
      </w:r>
      <w:r w:rsidRPr="000B5DB7">
        <w:rPr>
          <w:noProof/>
        </w:rPr>
        <w:t>)</w:t>
      </w:r>
      <w:r>
        <w:rPr>
          <w:noProof/>
        </w:rPr>
        <w:tab/>
        <w:t>17</w:t>
      </w:r>
    </w:p>
    <w:p w14:paraId="79D8F6F3" w14:textId="77777777" w:rsidR="000B5DB7" w:rsidRDefault="000B5DB7" w:rsidP="00015CF2">
      <w:pPr>
        <w:pStyle w:val="Textoconsangra"/>
        <w:tabs>
          <w:tab w:val="right" w:leader="dot" w:pos="9240"/>
        </w:tabs>
        <w:rPr>
          <w:noProof/>
        </w:rPr>
      </w:pPr>
      <w:r w:rsidRPr="003473B7">
        <w:rPr>
          <w:i/>
          <w:noProof/>
        </w:rPr>
        <w:t>Handyside v. United Kingdom</w:t>
      </w:r>
      <w:r>
        <w:rPr>
          <w:noProof/>
        </w:rPr>
        <w:t xml:space="preserve"> (Judgement) ECHR</w:t>
      </w:r>
      <w:r w:rsidRPr="003473B7">
        <w:rPr>
          <w:i/>
          <w:noProof/>
        </w:rPr>
        <w:t xml:space="preserve"> </w:t>
      </w:r>
      <w:r>
        <w:rPr>
          <w:noProof/>
        </w:rPr>
        <w:t>App. No. 5493/72 (7 December 1976)</w:t>
      </w:r>
      <w:r>
        <w:rPr>
          <w:noProof/>
        </w:rPr>
        <w:tab/>
        <w:t>18</w:t>
      </w:r>
    </w:p>
    <w:p w14:paraId="1386D239" w14:textId="77777777" w:rsidR="000B5DB7" w:rsidRDefault="000B5DB7" w:rsidP="00015CF2">
      <w:pPr>
        <w:pStyle w:val="Textoconsangra"/>
        <w:tabs>
          <w:tab w:val="right" w:leader="dot" w:pos="9240"/>
        </w:tabs>
        <w:rPr>
          <w:noProof/>
        </w:rPr>
      </w:pPr>
      <w:r>
        <w:rPr>
          <w:noProof/>
        </w:rPr>
        <w:t xml:space="preserve">IACHR, ‘Report No. 99/03 </w:t>
      </w:r>
      <w:r w:rsidRPr="003473B7">
        <w:rPr>
          <w:noProof/>
          <w:highlight w:val="white"/>
        </w:rPr>
        <w:t>Cesar Fierro v. United States’ (29 December 2003) Case 11.331</w:t>
      </w:r>
      <w:r>
        <w:rPr>
          <w:noProof/>
        </w:rPr>
        <w:tab/>
        <w:t>21</w:t>
      </w:r>
    </w:p>
    <w:p w14:paraId="363B979E" w14:textId="77777777" w:rsidR="000B5DB7" w:rsidRDefault="000B5DB7" w:rsidP="00015CF2">
      <w:pPr>
        <w:pStyle w:val="Textoconsangra"/>
        <w:tabs>
          <w:tab w:val="right" w:leader="dot" w:pos="9240"/>
        </w:tabs>
        <w:rPr>
          <w:noProof/>
        </w:rPr>
      </w:pPr>
      <w:r>
        <w:rPr>
          <w:noProof/>
        </w:rPr>
        <w:t>IACHR, Report No. 453/21. ‘Manuel Valle v. USA’ (Admissibility and Merits) (31 December 2021) [</w:t>
      </w:r>
      <w:r w:rsidRPr="003473B7">
        <w:rPr>
          <w:i/>
          <w:noProof/>
        </w:rPr>
        <w:t>‘Manuel Valle v. USA’</w:t>
      </w:r>
      <w:r>
        <w:rPr>
          <w:noProof/>
        </w:rPr>
        <w:t>]</w:t>
      </w:r>
      <w:r>
        <w:rPr>
          <w:noProof/>
        </w:rPr>
        <w:tab/>
        <w:t>26, 27</w:t>
      </w:r>
    </w:p>
    <w:p w14:paraId="27346A1B" w14:textId="77777777" w:rsidR="000B5DB7" w:rsidRDefault="000B5DB7" w:rsidP="00015CF2">
      <w:pPr>
        <w:pStyle w:val="Textoconsangra"/>
        <w:tabs>
          <w:tab w:val="right" w:leader="dot" w:pos="9240"/>
        </w:tabs>
        <w:rPr>
          <w:noProof/>
        </w:rPr>
      </w:pPr>
      <w:r>
        <w:rPr>
          <w:noProof/>
        </w:rPr>
        <w:lastRenderedPageBreak/>
        <w:t>IACHR, Report No. 454/21 ‘José Trinidad Loza Ventura v. USA’ (Admissibility and Merits) Case 13.478. (31 December 2021)</w:t>
      </w:r>
      <w:r>
        <w:rPr>
          <w:noProof/>
        </w:rPr>
        <w:tab/>
        <w:t>27</w:t>
      </w:r>
    </w:p>
    <w:p w14:paraId="20D76241" w14:textId="77777777" w:rsidR="000B5DB7" w:rsidRDefault="000B5DB7" w:rsidP="00015CF2">
      <w:pPr>
        <w:pStyle w:val="Textoconsangra"/>
        <w:tabs>
          <w:tab w:val="right" w:leader="dot" w:pos="9240"/>
        </w:tabs>
        <w:rPr>
          <w:noProof/>
        </w:rPr>
      </w:pPr>
      <w:r w:rsidRPr="003473B7">
        <w:rPr>
          <w:i/>
          <w:noProof/>
        </w:rPr>
        <w:t>Iran v. USA</w:t>
      </w:r>
      <w:r>
        <w:rPr>
          <w:noProof/>
        </w:rPr>
        <w:t xml:space="preserve"> (1984) 32 IUSCT 18 [‘</w:t>
      </w:r>
      <w:r w:rsidRPr="003473B7">
        <w:rPr>
          <w:i/>
          <w:noProof/>
        </w:rPr>
        <w:t>Iran v. USA 1984</w:t>
      </w:r>
      <w:r>
        <w:rPr>
          <w:noProof/>
        </w:rPr>
        <w:t>’]</w:t>
      </w:r>
      <w:r>
        <w:rPr>
          <w:noProof/>
        </w:rPr>
        <w:tab/>
        <w:t>23, 25</w:t>
      </w:r>
    </w:p>
    <w:p w14:paraId="01E1264B" w14:textId="77777777" w:rsidR="000B5DB7" w:rsidRDefault="000B5DB7" w:rsidP="00015CF2">
      <w:pPr>
        <w:pStyle w:val="Textoconsangra"/>
        <w:tabs>
          <w:tab w:val="right" w:leader="dot" w:pos="9240"/>
        </w:tabs>
        <w:rPr>
          <w:noProof/>
        </w:rPr>
      </w:pPr>
      <w:r w:rsidRPr="003473B7">
        <w:rPr>
          <w:i/>
          <w:noProof/>
        </w:rPr>
        <w:t>Janko Rottman v Freistaat Bayern</w:t>
      </w:r>
      <w:r>
        <w:rPr>
          <w:noProof/>
        </w:rPr>
        <w:t xml:space="preserve"> (Judgement) CJEU C-135/08 (2 March 2010) [</w:t>
      </w:r>
      <w:r w:rsidRPr="003473B7">
        <w:rPr>
          <w:i/>
          <w:noProof/>
        </w:rPr>
        <w:t>‘Rottman v. Bayern’</w:t>
      </w:r>
      <w:r>
        <w:rPr>
          <w:noProof/>
        </w:rPr>
        <w:t>]</w:t>
      </w:r>
      <w:r>
        <w:rPr>
          <w:noProof/>
        </w:rPr>
        <w:tab/>
        <w:t>12</w:t>
      </w:r>
    </w:p>
    <w:p w14:paraId="3586B415" w14:textId="77777777" w:rsidR="000B5DB7" w:rsidRDefault="000B5DB7" w:rsidP="00015CF2">
      <w:pPr>
        <w:pStyle w:val="Textoconsangra"/>
        <w:tabs>
          <w:tab w:val="right" w:leader="dot" w:pos="9240"/>
        </w:tabs>
        <w:rPr>
          <w:noProof/>
        </w:rPr>
      </w:pPr>
      <w:r w:rsidRPr="003473B7">
        <w:rPr>
          <w:i/>
          <w:noProof/>
        </w:rPr>
        <w:t>K2 v United Kingdom</w:t>
      </w:r>
      <w:r>
        <w:rPr>
          <w:noProof/>
        </w:rPr>
        <w:t xml:space="preserve"> (Judgement) </w:t>
      </w:r>
      <w:r w:rsidRPr="003473B7">
        <w:rPr>
          <w:noProof/>
          <w:highlight w:val="white"/>
        </w:rPr>
        <w:t xml:space="preserve">ECHR </w:t>
      </w:r>
      <w:r>
        <w:rPr>
          <w:noProof/>
        </w:rPr>
        <w:t xml:space="preserve">App. No. 42387/13 </w:t>
      </w:r>
      <w:r w:rsidRPr="003473B7">
        <w:rPr>
          <w:noProof/>
          <w:highlight w:val="white"/>
        </w:rPr>
        <w:t>(2 July 2017)</w:t>
      </w:r>
      <w:r>
        <w:rPr>
          <w:noProof/>
        </w:rPr>
        <w:tab/>
        <w:t>9</w:t>
      </w:r>
    </w:p>
    <w:p w14:paraId="0BB76340" w14:textId="77777777" w:rsidR="000B5DB7" w:rsidRDefault="000B5DB7" w:rsidP="00015CF2">
      <w:pPr>
        <w:pStyle w:val="Textoconsangra"/>
        <w:tabs>
          <w:tab w:val="right" w:leader="dot" w:pos="9240"/>
        </w:tabs>
        <w:rPr>
          <w:noProof/>
        </w:rPr>
      </w:pPr>
      <w:r w:rsidRPr="003473B7">
        <w:rPr>
          <w:i/>
          <w:noProof/>
        </w:rPr>
        <w:t>Kablis v. Russia</w:t>
      </w:r>
      <w:r>
        <w:rPr>
          <w:noProof/>
        </w:rPr>
        <w:t xml:space="preserve"> (Judgement) ECHR</w:t>
      </w:r>
      <w:r w:rsidRPr="003473B7">
        <w:rPr>
          <w:i/>
          <w:noProof/>
        </w:rPr>
        <w:t xml:space="preserve"> </w:t>
      </w:r>
      <w:r>
        <w:rPr>
          <w:noProof/>
        </w:rPr>
        <w:t xml:space="preserve">Apps. No. </w:t>
      </w:r>
      <w:r w:rsidRPr="003473B7">
        <w:rPr>
          <w:noProof/>
          <w:highlight w:val="white"/>
        </w:rPr>
        <w:t>48310/16 and 59663/17</w:t>
      </w:r>
      <w:r>
        <w:rPr>
          <w:noProof/>
        </w:rPr>
        <w:t xml:space="preserve"> (</w:t>
      </w:r>
      <w:r w:rsidRPr="003473B7">
        <w:rPr>
          <w:noProof/>
          <w:highlight w:val="white"/>
        </w:rPr>
        <w:t>30 April 2019</w:t>
      </w:r>
      <w:r>
        <w:rPr>
          <w:noProof/>
        </w:rPr>
        <w:t>)</w:t>
      </w:r>
      <w:r>
        <w:rPr>
          <w:noProof/>
        </w:rPr>
        <w:tab/>
        <w:t>18</w:t>
      </w:r>
    </w:p>
    <w:p w14:paraId="15673BA9" w14:textId="77777777" w:rsidR="000B5DB7" w:rsidRDefault="000B5DB7" w:rsidP="00015CF2">
      <w:pPr>
        <w:pStyle w:val="Textoconsangra"/>
        <w:tabs>
          <w:tab w:val="right" w:leader="dot" w:pos="9240"/>
        </w:tabs>
        <w:rPr>
          <w:noProof/>
        </w:rPr>
      </w:pPr>
      <w:r w:rsidRPr="003473B7">
        <w:rPr>
          <w:i/>
          <w:noProof/>
          <w:highlight w:val="white"/>
        </w:rPr>
        <w:t xml:space="preserve">Manuel García et al. v. Venezuela, </w:t>
      </w:r>
      <w:r w:rsidRPr="003473B7">
        <w:rPr>
          <w:noProof/>
          <w:highlight w:val="white"/>
        </w:rPr>
        <w:t>PCA Case No. 2016-08 (Award on Jurisdiction) (2019)</w:t>
      </w:r>
      <w:r>
        <w:rPr>
          <w:noProof/>
        </w:rPr>
        <w:tab/>
        <w:t>24</w:t>
      </w:r>
    </w:p>
    <w:p w14:paraId="346878B8" w14:textId="77777777" w:rsidR="000B5DB7" w:rsidRDefault="000B5DB7" w:rsidP="00015CF2">
      <w:pPr>
        <w:pStyle w:val="Textoconsangra"/>
        <w:tabs>
          <w:tab w:val="right" w:leader="dot" w:pos="9240"/>
        </w:tabs>
        <w:rPr>
          <w:noProof/>
        </w:rPr>
      </w:pPr>
      <w:r w:rsidRPr="003473B7">
        <w:rPr>
          <w:i/>
          <w:noProof/>
        </w:rPr>
        <w:t>Mergé Claim</w:t>
      </w:r>
      <w:r>
        <w:rPr>
          <w:noProof/>
        </w:rPr>
        <w:t xml:space="preserve">, </w:t>
      </w:r>
      <w:r w:rsidRPr="003473B7">
        <w:rPr>
          <w:noProof/>
          <w:highlight w:val="white"/>
        </w:rPr>
        <w:t>(Italy v United States)</w:t>
      </w:r>
      <w:r>
        <w:rPr>
          <w:noProof/>
        </w:rPr>
        <w:t xml:space="preserve"> (1955) </w:t>
      </w:r>
      <w:r w:rsidRPr="003473B7">
        <w:rPr>
          <w:noProof/>
          <w:highlight w:val="white"/>
        </w:rPr>
        <w:t>[</w:t>
      </w:r>
      <w:r w:rsidRPr="003473B7">
        <w:rPr>
          <w:i/>
          <w:noProof/>
          <w:highlight w:val="white"/>
        </w:rPr>
        <w:t>‘Mergé Claim’</w:t>
      </w:r>
      <w:r w:rsidRPr="003473B7">
        <w:rPr>
          <w:noProof/>
          <w:highlight w:val="white"/>
        </w:rPr>
        <w:t>].</w:t>
      </w:r>
      <w:r>
        <w:rPr>
          <w:noProof/>
        </w:rPr>
        <w:t>22 ILR 242</w:t>
      </w:r>
      <w:r>
        <w:rPr>
          <w:noProof/>
        </w:rPr>
        <w:tab/>
        <w:t>23, 24</w:t>
      </w:r>
    </w:p>
    <w:p w14:paraId="26EBF8C5" w14:textId="77777777" w:rsidR="000B5DB7" w:rsidRDefault="000B5DB7" w:rsidP="00015CF2">
      <w:pPr>
        <w:pStyle w:val="Textoconsangra"/>
        <w:tabs>
          <w:tab w:val="right" w:leader="dot" w:pos="9240"/>
        </w:tabs>
        <w:rPr>
          <w:noProof/>
        </w:rPr>
      </w:pPr>
      <w:r w:rsidRPr="003473B7">
        <w:rPr>
          <w:i/>
          <w:noProof/>
        </w:rPr>
        <w:t>Michael Ballantine and Lisa Ballantine v. the Dominican Republic</w:t>
      </w:r>
      <w:r w:rsidRPr="003473B7">
        <w:rPr>
          <w:noProof/>
        </w:rPr>
        <w:t>, PCA Case No. 2016-17 (Final Award) (2019)</w:t>
      </w:r>
      <w:r>
        <w:rPr>
          <w:noProof/>
        </w:rPr>
        <w:tab/>
        <w:t>25</w:t>
      </w:r>
    </w:p>
    <w:p w14:paraId="45B373CF" w14:textId="77777777" w:rsidR="000B5DB7" w:rsidRDefault="000B5DB7" w:rsidP="00015CF2">
      <w:pPr>
        <w:pStyle w:val="Textoconsangra"/>
        <w:tabs>
          <w:tab w:val="right" w:leader="dot" w:pos="9240"/>
        </w:tabs>
        <w:rPr>
          <w:noProof/>
        </w:rPr>
      </w:pPr>
      <w:r w:rsidRPr="003473B7">
        <w:rPr>
          <w:i/>
          <w:noProof/>
        </w:rPr>
        <w:t xml:space="preserve">Micheletti and Others v Delegación del Gobierno en Cantabria </w:t>
      </w:r>
      <w:r>
        <w:rPr>
          <w:noProof/>
        </w:rPr>
        <w:t>(Judgement) CJEU C-369/90 (7 July 1992)</w:t>
      </w:r>
      <w:r>
        <w:rPr>
          <w:noProof/>
        </w:rPr>
        <w:tab/>
        <w:t>22</w:t>
      </w:r>
    </w:p>
    <w:p w14:paraId="106EA8AA" w14:textId="77777777" w:rsidR="000B5DB7" w:rsidRDefault="000B5DB7" w:rsidP="00015CF2">
      <w:pPr>
        <w:pStyle w:val="Textoconsangra"/>
        <w:tabs>
          <w:tab w:val="right" w:leader="dot" w:pos="9240"/>
        </w:tabs>
        <w:rPr>
          <w:noProof/>
        </w:rPr>
      </w:pPr>
      <w:r w:rsidRPr="003473B7">
        <w:rPr>
          <w:i/>
          <w:noProof/>
          <w:highlight w:val="white"/>
        </w:rPr>
        <w:t>Peringek v. Switzerland</w:t>
      </w:r>
      <w:r w:rsidRPr="003473B7">
        <w:rPr>
          <w:noProof/>
          <w:highlight w:val="white"/>
        </w:rPr>
        <w:t xml:space="preserve">, </w:t>
      </w:r>
      <w:r>
        <w:rPr>
          <w:noProof/>
        </w:rPr>
        <w:t xml:space="preserve">(Judgement) </w:t>
      </w:r>
      <w:r w:rsidRPr="003473B7">
        <w:rPr>
          <w:noProof/>
          <w:highlight w:val="white"/>
        </w:rPr>
        <w:t xml:space="preserve">ECHR </w:t>
      </w:r>
      <w:r>
        <w:rPr>
          <w:noProof/>
        </w:rPr>
        <w:t xml:space="preserve">App. No. </w:t>
      </w:r>
      <w:r w:rsidRPr="003473B7">
        <w:rPr>
          <w:noProof/>
          <w:highlight w:val="white"/>
        </w:rPr>
        <w:t>27510/08 (15 October 2015)</w:t>
      </w:r>
      <w:r>
        <w:rPr>
          <w:noProof/>
        </w:rPr>
        <w:tab/>
        <w:t>16</w:t>
      </w:r>
    </w:p>
    <w:p w14:paraId="00493AC8" w14:textId="77777777" w:rsidR="000B5DB7" w:rsidRDefault="000B5DB7" w:rsidP="00015CF2">
      <w:pPr>
        <w:pStyle w:val="Textoconsangra"/>
        <w:tabs>
          <w:tab w:val="right" w:leader="dot" w:pos="9240"/>
        </w:tabs>
        <w:rPr>
          <w:noProof/>
        </w:rPr>
      </w:pPr>
      <w:r w:rsidRPr="003473B7">
        <w:rPr>
          <w:i/>
          <w:noProof/>
          <w:highlight w:val="white"/>
        </w:rPr>
        <w:t xml:space="preserve">Petropavlovskis v. Latvia </w:t>
      </w:r>
      <w:r w:rsidRPr="003473B7">
        <w:rPr>
          <w:noProof/>
          <w:highlight w:val="white"/>
        </w:rPr>
        <w:t>(Judgement) ECHR</w:t>
      </w:r>
      <w:r w:rsidRPr="003473B7">
        <w:rPr>
          <w:i/>
          <w:noProof/>
          <w:highlight w:val="white"/>
        </w:rPr>
        <w:t xml:space="preserve"> </w:t>
      </w:r>
      <w:r w:rsidRPr="003473B7">
        <w:rPr>
          <w:noProof/>
          <w:highlight w:val="white"/>
        </w:rPr>
        <w:t>App. No. 44230/06 (2 May 2021) [‘</w:t>
      </w:r>
      <w:r w:rsidRPr="003473B7">
        <w:rPr>
          <w:i/>
          <w:noProof/>
          <w:highlight w:val="white"/>
        </w:rPr>
        <w:t>Petropavlovskis v. Latvia</w:t>
      </w:r>
      <w:r w:rsidRPr="003473B7">
        <w:rPr>
          <w:noProof/>
          <w:highlight w:val="white"/>
        </w:rPr>
        <w:t>’]</w:t>
      </w:r>
      <w:r>
        <w:rPr>
          <w:noProof/>
        </w:rPr>
        <w:tab/>
        <w:t>7, 30</w:t>
      </w:r>
    </w:p>
    <w:p w14:paraId="1460C6E7" w14:textId="77777777" w:rsidR="000B5DB7" w:rsidRDefault="000B5DB7" w:rsidP="00015CF2">
      <w:pPr>
        <w:pStyle w:val="Textoconsangra"/>
        <w:tabs>
          <w:tab w:val="right" w:leader="dot" w:pos="9240"/>
        </w:tabs>
        <w:rPr>
          <w:noProof/>
        </w:rPr>
      </w:pPr>
      <w:r w:rsidRPr="003473B7">
        <w:rPr>
          <w:i/>
          <w:noProof/>
        </w:rPr>
        <w:t>Piechowicz v Poland</w:t>
      </w:r>
      <w:r>
        <w:rPr>
          <w:noProof/>
        </w:rPr>
        <w:t xml:space="preserve"> (Judgement) </w:t>
      </w:r>
      <w:r w:rsidRPr="003473B7">
        <w:rPr>
          <w:noProof/>
          <w:highlight w:val="white"/>
        </w:rPr>
        <w:t xml:space="preserve">ECHR </w:t>
      </w:r>
      <w:r>
        <w:rPr>
          <w:noProof/>
        </w:rPr>
        <w:t>App. No. 20071/07 (17 April 2012)</w:t>
      </w:r>
      <w:r>
        <w:rPr>
          <w:noProof/>
        </w:rPr>
        <w:tab/>
        <w:t>10</w:t>
      </w:r>
    </w:p>
    <w:p w14:paraId="5FBB40E4" w14:textId="77777777" w:rsidR="000B5DB7" w:rsidRDefault="000B5DB7" w:rsidP="00015CF2">
      <w:pPr>
        <w:pStyle w:val="Textoconsangra"/>
        <w:tabs>
          <w:tab w:val="right" w:leader="dot" w:pos="9240"/>
        </w:tabs>
        <w:rPr>
          <w:noProof/>
        </w:rPr>
      </w:pPr>
      <w:r w:rsidRPr="003473B7">
        <w:rPr>
          <w:i/>
          <w:noProof/>
        </w:rPr>
        <w:t>Proposed Amendments to the Naturalization Provision of the Constitution of Costa Rica</w:t>
      </w:r>
      <w:r>
        <w:rPr>
          <w:noProof/>
        </w:rPr>
        <w:t xml:space="preserve"> </w:t>
      </w:r>
      <w:r w:rsidRPr="003473B7">
        <w:rPr>
          <w:i/>
          <w:noProof/>
          <w:highlight w:val="white"/>
        </w:rPr>
        <w:t>OC-4/84</w:t>
      </w:r>
      <w:r w:rsidRPr="003473B7">
        <w:rPr>
          <w:noProof/>
          <w:highlight w:val="white"/>
        </w:rPr>
        <w:t xml:space="preserve"> </w:t>
      </w:r>
      <w:r>
        <w:rPr>
          <w:noProof/>
        </w:rPr>
        <w:t xml:space="preserve">(Advisory Opinion) IACtHR </w:t>
      </w:r>
      <w:r w:rsidRPr="003473B7">
        <w:rPr>
          <w:noProof/>
          <w:highlight w:val="white"/>
        </w:rPr>
        <w:t>Series A No. 4</w:t>
      </w:r>
      <w:r w:rsidRPr="003473B7">
        <w:rPr>
          <w:noProof/>
          <w:color w:val="3F3F3F"/>
        </w:rPr>
        <w:t xml:space="preserve"> </w:t>
      </w:r>
      <w:r>
        <w:rPr>
          <w:noProof/>
        </w:rPr>
        <w:t>(19 January 1984) [</w:t>
      </w:r>
      <w:r w:rsidRPr="003473B7">
        <w:rPr>
          <w:i/>
          <w:noProof/>
        </w:rPr>
        <w:t>‘IACtHR</w:t>
      </w:r>
      <w:r>
        <w:rPr>
          <w:noProof/>
        </w:rPr>
        <w:t xml:space="preserve"> </w:t>
      </w:r>
      <w:r w:rsidRPr="003473B7">
        <w:rPr>
          <w:i/>
          <w:noProof/>
          <w:highlight w:val="white"/>
        </w:rPr>
        <w:t>OC-4/84’</w:t>
      </w:r>
      <w:r>
        <w:rPr>
          <w:noProof/>
        </w:rPr>
        <w:t>]</w:t>
      </w:r>
      <w:r>
        <w:rPr>
          <w:noProof/>
        </w:rPr>
        <w:tab/>
        <w:t>6, 13, 30</w:t>
      </w:r>
    </w:p>
    <w:p w14:paraId="2DB56325" w14:textId="77777777" w:rsidR="000B5DB7" w:rsidRDefault="000B5DB7" w:rsidP="00015CF2">
      <w:pPr>
        <w:pStyle w:val="Textoconsangra"/>
        <w:tabs>
          <w:tab w:val="right" w:leader="dot" w:pos="9240"/>
        </w:tabs>
        <w:rPr>
          <w:noProof/>
        </w:rPr>
      </w:pPr>
      <w:r w:rsidRPr="003473B7">
        <w:rPr>
          <w:i/>
          <w:noProof/>
        </w:rPr>
        <w:t xml:space="preserve">Prosecutor v Kordic and Cerkez </w:t>
      </w:r>
      <w:r>
        <w:rPr>
          <w:noProof/>
        </w:rPr>
        <w:t>(Decision on Appeals)</w:t>
      </w:r>
      <w:r w:rsidRPr="003473B7">
        <w:rPr>
          <w:i/>
          <w:noProof/>
        </w:rPr>
        <w:t xml:space="preserve"> </w:t>
      </w:r>
      <w:r>
        <w:rPr>
          <w:noProof/>
        </w:rPr>
        <w:t>ICTY-95-14/2-AR73.6 (18 September 2000) [‘</w:t>
      </w:r>
      <w:r w:rsidRPr="003473B7">
        <w:rPr>
          <w:i/>
          <w:noProof/>
        </w:rPr>
        <w:t>Kordic and Cerkez case</w:t>
      </w:r>
      <w:r>
        <w:rPr>
          <w:noProof/>
        </w:rPr>
        <w:t>]</w:t>
      </w:r>
      <w:r>
        <w:rPr>
          <w:noProof/>
        </w:rPr>
        <w:tab/>
        <w:t>35</w:t>
      </w:r>
    </w:p>
    <w:p w14:paraId="22A95936" w14:textId="77777777" w:rsidR="000B5DB7" w:rsidRDefault="000B5DB7" w:rsidP="00015CF2">
      <w:pPr>
        <w:pStyle w:val="Textoconsangra"/>
        <w:tabs>
          <w:tab w:val="right" w:leader="dot" w:pos="9240"/>
        </w:tabs>
        <w:rPr>
          <w:noProof/>
        </w:rPr>
      </w:pPr>
      <w:r w:rsidRPr="003473B7">
        <w:rPr>
          <w:i/>
          <w:noProof/>
          <w:highlight w:val="white"/>
        </w:rPr>
        <w:t xml:space="preserve">Prosecutor v. Barayagwiza </w:t>
      </w:r>
      <w:r w:rsidRPr="003473B7">
        <w:rPr>
          <w:noProof/>
          <w:highlight w:val="white"/>
        </w:rPr>
        <w:t>(Decision) ICTR-97-19-AR72 (3 November 1999)</w:t>
      </w:r>
      <w:r>
        <w:rPr>
          <w:noProof/>
        </w:rPr>
        <w:tab/>
        <w:t>35</w:t>
      </w:r>
    </w:p>
    <w:p w14:paraId="55D02D21" w14:textId="77777777" w:rsidR="000B5DB7" w:rsidRDefault="000B5DB7" w:rsidP="00015CF2">
      <w:pPr>
        <w:pStyle w:val="Textoconsangra"/>
        <w:tabs>
          <w:tab w:val="right" w:leader="dot" w:pos="9240"/>
        </w:tabs>
        <w:rPr>
          <w:noProof/>
        </w:rPr>
      </w:pPr>
      <w:r w:rsidRPr="003473B7">
        <w:rPr>
          <w:i/>
          <w:noProof/>
          <w:highlight w:val="white"/>
        </w:rPr>
        <w:t xml:space="preserve">Prosecutor v. Blaskić, </w:t>
      </w:r>
      <w:r w:rsidRPr="003473B7">
        <w:rPr>
          <w:noProof/>
          <w:highlight w:val="white"/>
        </w:rPr>
        <w:t>ICTY-95-14 (29 October 1997)</w:t>
      </w:r>
      <w:r>
        <w:rPr>
          <w:noProof/>
        </w:rPr>
        <w:tab/>
        <w:t>2</w:t>
      </w:r>
    </w:p>
    <w:p w14:paraId="2E6033E4" w14:textId="77777777" w:rsidR="000B5DB7" w:rsidRDefault="000B5DB7" w:rsidP="00015CF2">
      <w:pPr>
        <w:pStyle w:val="Textoconsangra"/>
        <w:tabs>
          <w:tab w:val="right" w:leader="dot" w:pos="9240"/>
        </w:tabs>
        <w:rPr>
          <w:noProof/>
        </w:rPr>
      </w:pPr>
      <w:r w:rsidRPr="003473B7">
        <w:rPr>
          <w:i/>
          <w:noProof/>
          <w:highlight w:val="white"/>
        </w:rPr>
        <w:t>Prosecutor v. Dusko Tadic</w:t>
      </w:r>
      <w:r w:rsidRPr="003473B7">
        <w:rPr>
          <w:noProof/>
          <w:highlight w:val="white"/>
        </w:rPr>
        <w:t xml:space="preserve"> (Trial Chamber Decision) ICTY-94-1 (10 August 1995)</w:t>
      </w:r>
      <w:r>
        <w:rPr>
          <w:noProof/>
        </w:rPr>
        <w:tab/>
        <w:t>35</w:t>
      </w:r>
    </w:p>
    <w:p w14:paraId="3BB370B2" w14:textId="77777777" w:rsidR="000B5DB7" w:rsidRDefault="000B5DB7" w:rsidP="00015CF2">
      <w:pPr>
        <w:pStyle w:val="Textoconsangra"/>
        <w:tabs>
          <w:tab w:val="right" w:leader="dot" w:pos="9240"/>
        </w:tabs>
        <w:rPr>
          <w:noProof/>
        </w:rPr>
      </w:pPr>
      <w:r w:rsidRPr="003473B7">
        <w:rPr>
          <w:i/>
          <w:noProof/>
          <w:highlight w:val="white"/>
        </w:rPr>
        <w:t xml:space="preserve">Prosecutor v. Furundzija </w:t>
      </w:r>
      <w:r w:rsidRPr="003473B7">
        <w:rPr>
          <w:noProof/>
          <w:highlight w:val="white"/>
        </w:rPr>
        <w:t>(Trial Judgement) ICTY 95-17 (10 December 1998)</w:t>
      </w:r>
      <w:r>
        <w:rPr>
          <w:noProof/>
        </w:rPr>
        <w:tab/>
        <w:t>6</w:t>
      </w:r>
    </w:p>
    <w:p w14:paraId="6DF71F59" w14:textId="77777777" w:rsidR="000B5DB7" w:rsidRDefault="000B5DB7" w:rsidP="00015CF2">
      <w:pPr>
        <w:pStyle w:val="Textoconsangra"/>
        <w:tabs>
          <w:tab w:val="right" w:leader="dot" w:pos="9240"/>
        </w:tabs>
        <w:rPr>
          <w:noProof/>
        </w:rPr>
      </w:pPr>
      <w:r w:rsidRPr="003473B7">
        <w:rPr>
          <w:i/>
          <w:noProof/>
          <w:highlight w:val="white"/>
        </w:rPr>
        <w:t>Prosecutor v. Nzabonimana</w:t>
      </w:r>
      <w:r w:rsidRPr="003473B7">
        <w:rPr>
          <w:noProof/>
          <w:highlight w:val="white"/>
        </w:rPr>
        <w:t>, ICTR-98-44 (4 March 2010)</w:t>
      </w:r>
      <w:r>
        <w:rPr>
          <w:noProof/>
        </w:rPr>
        <w:tab/>
        <w:t>2</w:t>
      </w:r>
    </w:p>
    <w:p w14:paraId="3C7A8C7F" w14:textId="77777777" w:rsidR="000B5DB7" w:rsidRDefault="000B5DB7" w:rsidP="00015CF2">
      <w:pPr>
        <w:pStyle w:val="Textoconsangra"/>
        <w:tabs>
          <w:tab w:val="right" w:leader="dot" w:pos="9240"/>
        </w:tabs>
        <w:rPr>
          <w:noProof/>
        </w:rPr>
      </w:pPr>
      <w:r w:rsidRPr="003473B7">
        <w:rPr>
          <w:i/>
          <w:noProof/>
          <w:highlight w:val="white"/>
        </w:rPr>
        <w:t>Responsibilities and obligations of States with respect to activities in the Area</w:t>
      </w:r>
      <w:r w:rsidRPr="003473B7">
        <w:rPr>
          <w:noProof/>
          <w:highlight w:val="white"/>
        </w:rPr>
        <w:t xml:space="preserve"> (Advisory Opinion) (1 February 2011) ITLOS Reports 10</w:t>
      </w:r>
      <w:r>
        <w:rPr>
          <w:noProof/>
        </w:rPr>
        <w:tab/>
        <w:t>6</w:t>
      </w:r>
    </w:p>
    <w:p w14:paraId="446CC505" w14:textId="77777777" w:rsidR="000B5DB7" w:rsidRDefault="000B5DB7" w:rsidP="00015CF2">
      <w:pPr>
        <w:pStyle w:val="Textoconsangra"/>
        <w:tabs>
          <w:tab w:val="right" w:leader="dot" w:pos="9240"/>
        </w:tabs>
        <w:rPr>
          <w:noProof/>
        </w:rPr>
      </w:pPr>
      <w:r w:rsidRPr="003473B7">
        <w:rPr>
          <w:i/>
          <w:noProof/>
          <w:highlight w:val="white"/>
        </w:rPr>
        <w:t>Reza Said v. Iran</w:t>
      </w:r>
      <w:r w:rsidRPr="003473B7">
        <w:rPr>
          <w:noProof/>
          <w:highlight w:val="white"/>
        </w:rPr>
        <w:t>, (1988) 193 IUSCT 68</w:t>
      </w:r>
      <w:r>
        <w:rPr>
          <w:noProof/>
        </w:rPr>
        <w:tab/>
        <w:t>25</w:t>
      </w:r>
    </w:p>
    <w:p w14:paraId="1BCF2557" w14:textId="77777777" w:rsidR="000B5DB7" w:rsidRDefault="000B5DB7" w:rsidP="00015CF2">
      <w:pPr>
        <w:pStyle w:val="Textoconsangra"/>
        <w:tabs>
          <w:tab w:val="right" w:leader="dot" w:pos="9240"/>
        </w:tabs>
        <w:rPr>
          <w:noProof/>
        </w:rPr>
      </w:pPr>
      <w:r w:rsidRPr="003473B7">
        <w:rPr>
          <w:i/>
          <w:noProof/>
        </w:rPr>
        <w:t xml:space="preserve">Ruiz Zambrano </w:t>
      </w:r>
      <w:r>
        <w:rPr>
          <w:noProof/>
        </w:rPr>
        <w:t>(Judgment) CJEU C-34/09 (8 March 2011)</w:t>
      </w:r>
      <w:r>
        <w:rPr>
          <w:noProof/>
        </w:rPr>
        <w:tab/>
        <w:t>22</w:t>
      </w:r>
    </w:p>
    <w:p w14:paraId="74D829E2" w14:textId="77777777" w:rsidR="000B5DB7" w:rsidRDefault="000B5DB7" w:rsidP="00015CF2">
      <w:pPr>
        <w:pStyle w:val="Textoconsangra"/>
        <w:tabs>
          <w:tab w:val="right" w:leader="dot" w:pos="9240"/>
        </w:tabs>
        <w:rPr>
          <w:noProof/>
        </w:rPr>
      </w:pPr>
      <w:r w:rsidRPr="003473B7">
        <w:rPr>
          <w:i/>
          <w:noProof/>
          <w:highlight w:val="white"/>
        </w:rPr>
        <w:t>Saghi v. Iran</w:t>
      </w:r>
      <w:r w:rsidRPr="003473B7">
        <w:rPr>
          <w:noProof/>
          <w:highlight w:val="white"/>
        </w:rPr>
        <w:t xml:space="preserve"> (1993) 298 IUSCT 544</w:t>
      </w:r>
      <w:r>
        <w:rPr>
          <w:noProof/>
        </w:rPr>
        <w:tab/>
        <w:t>23</w:t>
      </w:r>
    </w:p>
    <w:p w14:paraId="23CBB48C" w14:textId="77777777" w:rsidR="000B5DB7" w:rsidRDefault="000B5DB7" w:rsidP="00015CF2">
      <w:pPr>
        <w:pStyle w:val="Textoconsangra"/>
        <w:tabs>
          <w:tab w:val="right" w:leader="dot" w:pos="9240"/>
        </w:tabs>
        <w:rPr>
          <w:noProof/>
        </w:rPr>
      </w:pPr>
      <w:r w:rsidRPr="003473B7">
        <w:rPr>
          <w:i/>
          <w:noProof/>
        </w:rPr>
        <w:t>Stern Taulats and Roura Capellera v. Spain</w:t>
      </w:r>
      <w:r>
        <w:rPr>
          <w:noProof/>
        </w:rPr>
        <w:t xml:space="preserve"> (Judgement) ECHR</w:t>
      </w:r>
      <w:r w:rsidRPr="003473B7">
        <w:rPr>
          <w:i/>
          <w:noProof/>
        </w:rPr>
        <w:t xml:space="preserve"> </w:t>
      </w:r>
      <w:r>
        <w:rPr>
          <w:noProof/>
        </w:rPr>
        <w:t xml:space="preserve">Apps. Nos. 51168/15 and </w:t>
      </w:r>
      <w:r>
        <w:rPr>
          <w:noProof/>
        </w:rPr>
        <w:lastRenderedPageBreak/>
        <w:t>51186/15 (13 May 2018) [</w:t>
      </w:r>
      <w:r w:rsidRPr="003473B7">
        <w:rPr>
          <w:i/>
          <w:noProof/>
          <w:highlight w:val="white"/>
        </w:rPr>
        <w:t>Stern Taulats v. Spain</w:t>
      </w:r>
      <w:r>
        <w:rPr>
          <w:noProof/>
        </w:rPr>
        <w:t>]</w:t>
      </w:r>
      <w:r>
        <w:rPr>
          <w:noProof/>
        </w:rPr>
        <w:tab/>
        <w:t>19</w:t>
      </w:r>
    </w:p>
    <w:p w14:paraId="58DA12A2" w14:textId="77777777" w:rsidR="000B5DB7" w:rsidRDefault="000B5DB7" w:rsidP="00015CF2">
      <w:pPr>
        <w:pStyle w:val="Textoconsangra"/>
        <w:tabs>
          <w:tab w:val="right" w:leader="dot" w:pos="9240"/>
        </w:tabs>
        <w:rPr>
          <w:noProof/>
        </w:rPr>
      </w:pPr>
      <w:r w:rsidRPr="003473B7">
        <w:rPr>
          <w:i/>
          <w:noProof/>
          <w:highlight w:val="white"/>
        </w:rPr>
        <w:t xml:space="preserve">Surek v. Turkey </w:t>
      </w:r>
      <w:r>
        <w:rPr>
          <w:noProof/>
        </w:rPr>
        <w:t xml:space="preserve">(Judgement) </w:t>
      </w:r>
      <w:r w:rsidRPr="003473B7">
        <w:rPr>
          <w:noProof/>
          <w:highlight w:val="white"/>
        </w:rPr>
        <w:t xml:space="preserve">ECHR </w:t>
      </w:r>
      <w:r>
        <w:rPr>
          <w:noProof/>
        </w:rPr>
        <w:t xml:space="preserve">App. No. </w:t>
      </w:r>
      <w:r w:rsidRPr="003473B7">
        <w:rPr>
          <w:noProof/>
          <w:highlight w:val="white"/>
        </w:rPr>
        <w:t>24735/94</w:t>
      </w:r>
      <w:r>
        <w:rPr>
          <w:noProof/>
        </w:rPr>
        <w:t xml:space="preserve"> (</w:t>
      </w:r>
      <w:r w:rsidRPr="003473B7">
        <w:rPr>
          <w:noProof/>
          <w:highlight w:val="white"/>
        </w:rPr>
        <w:t>8 July 1999)</w:t>
      </w:r>
      <w:r>
        <w:rPr>
          <w:noProof/>
        </w:rPr>
        <w:tab/>
        <w:t>16, 17</w:t>
      </w:r>
    </w:p>
    <w:p w14:paraId="4109BE66" w14:textId="77777777" w:rsidR="000B5DB7" w:rsidRDefault="000B5DB7" w:rsidP="00015CF2">
      <w:pPr>
        <w:pStyle w:val="Textoconsangra"/>
        <w:tabs>
          <w:tab w:val="right" w:leader="dot" w:pos="9240"/>
        </w:tabs>
        <w:rPr>
          <w:noProof/>
        </w:rPr>
      </w:pPr>
      <w:r w:rsidRPr="003473B7">
        <w:rPr>
          <w:i/>
          <w:noProof/>
        </w:rPr>
        <w:t>The Observer and Guardian v. The United Kingdom</w:t>
      </w:r>
      <w:r>
        <w:rPr>
          <w:noProof/>
        </w:rPr>
        <w:t xml:space="preserve"> (Judgement) ECHR</w:t>
      </w:r>
      <w:r w:rsidRPr="003473B7">
        <w:rPr>
          <w:i/>
          <w:noProof/>
        </w:rPr>
        <w:t xml:space="preserve"> </w:t>
      </w:r>
      <w:r>
        <w:rPr>
          <w:noProof/>
        </w:rPr>
        <w:t>App. No. 13585/88 (26 November 1991)</w:t>
      </w:r>
      <w:r>
        <w:rPr>
          <w:noProof/>
        </w:rPr>
        <w:tab/>
        <w:t>18</w:t>
      </w:r>
    </w:p>
    <w:p w14:paraId="2DDA17F6" w14:textId="77777777" w:rsidR="000B5DB7" w:rsidRDefault="000B5DB7" w:rsidP="00015CF2">
      <w:pPr>
        <w:pStyle w:val="Textoconsangra"/>
        <w:tabs>
          <w:tab w:val="right" w:leader="dot" w:pos="9240"/>
        </w:tabs>
        <w:rPr>
          <w:noProof/>
        </w:rPr>
      </w:pPr>
      <w:r w:rsidRPr="003473B7">
        <w:rPr>
          <w:i/>
          <w:noProof/>
        </w:rPr>
        <w:t>The Right to Information on Consular Assistance in the Framework of the Guarantees of the Due Process of Law</w:t>
      </w:r>
      <w:r>
        <w:rPr>
          <w:noProof/>
        </w:rPr>
        <w:t xml:space="preserve"> (Advisory Opinion) OC-16/99 IACtHR Series A No. 16 (1 October 1999)</w:t>
      </w:r>
      <w:r>
        <w:rPr>
          <w:noProof/>
        </w:rPr>
        <w:tab/>
        <w:t>27</w:t>
      </w:r>
    </w:p>
    <w:p w14:paraId="22D60818" w14:textId="77777777" w:rsidR="000B5DB7" w:rsidRDefault="000B5DB7" w:rsidP="00015CF2">
      <w:pPr>
        <w:pStyle w:val="Textoconsangra"/>
        <w:tabs>
          <w:tab w:val="right" w:leader="dot" w:pos="9240"/>
        </w:tabs>
        <w:rPr>
          <w:noProof/>
        </w:rPr>
      </w:pPr>
      <w:r w:rsidRPr="003473B7">
        <w:rPr>
          <w:i/>
          <w:noProof/>
        </w:rPr>
        <w:t>Tjebbes and Others v Minister van Buitenlandse Zaken</w:t>
      </w:r>
      <w:r>
        <w:rPr>
          <w:noProof/>
        </w:rPr>
        <w:t xml:space="preserve"> (Judgement) CJEU C-221/17 (12 March 2019)</w:t>
      </w:r>
      <w:r>
        <w:rPr>
          <w:noProof/>
        </w:rPr>
        <w:tab/>
        <w:t>12</w:t>
      </w:r>
    </w:p>
    <w:p w14:paraId="08013E63" w14:textId="77777777" w:rsidR="000B5DB7" w:rsidRDefault="000B5DB7" w:rsidP="00015CF2">
      <w:pPr>
        <w:pStyle w:val="Textoconsangra"/>
        <w:tabs>
          <w:tab w:val="right" w:leader="dot" w:pos="9240"/>
        </w:tabs>
        <w:rPr>
          <w:noProof/>
        </w:rPr>
      </w:pPr>
      <w:r w:rsidRPr="003473B7">
        <w:rPr>
          <w:i/>
          <w:noProof/>
          <w:highlight w:val="white"/>
        </w:rPr>
        <w:t xml:space="preserve">Waguih Siag v. Egypt, </w:t>
      </w:r>
      <w:r w:rsidRPr="003473B7">
        <w:rPr>
          <w:noProof/>
          <w:highlight w:val="white"/>
        </w:rPr>
        <w:t>ICSID Case No. ARB/05/15 (2009)</w:t>
      </w:r>
      <w:r>
        <w:rPr>
          <w:noProof/>
        </w:rPr>
        <w:tab/>
        <w:t>24</w:t>
      </w:r>
    </w:p>
    <w:p w14:paraId="32C32240" w14:textId="77777777" w:rsidR="000B5DB7" w:rsidRDefault="000B5DB7" w:rsidP="00015CF2">
      <w:pPr>
        <w:pStyle w:val="Textoconsangra"/>
        <w:tabs>
          <w:tab w:val="right" w:leader="dot" w:pos="9240"/>
        </w:tabs>
        <w:rPr>
          <w:noProof/>
        </w:rPr>
      </w:pPr>
      <w:r w:rsidRPr="003473B7">
        <w:rPr>
          <w:i/>
          <w:noProof/>
        </w:rPr>
        <w:t>X v Udlændinge- og Integrationsministeriet</w:t>
      </w:r>
      <w:r>
        <w:rPr>
          <w:noProof/>
        </w:rPr>
        <w:t xml:space="preserve"> (Judgement) CJEU C‑689/21 (5 September 2023)</w:t>
      </w:r>
      <w:r>
        <w:rPr>
          <w:noProof/>
        </w:rPr>
        <w:tab/>
        <w:t>12</w:t>
      </w:r>
    </w:p>
    <w:p w14:paraId="7A58CCA0" w14:textId="77777777" w:rsidR="000B5DB7" w:rsidRDefault="000B5DB7" w:rsidP="00015CF2">
      <w:pPr>
        <w:pStyle w:val="Encabezadodelista"/>
        <w:tabs>
          <w:tab w:val="right" w:leader="dot" w:pos="9240"/>
        </w:tabs>
        <w:rPr>
          <w:rFonts w:asciiTheme="minorHAnsi" w:eastAsiaTheme="minorEastAsia" w:hAnsiTheme="minorHAnsi" w:cstheme="minorBidi"/>
          <w:b w:val="0"/>
          <w:bCs w:val="0"/>
          <w:noProof/>
          <w:sz w:val="22"/>
          <w:szCs w:val="22"/>
        </w:rPr>
      </w:pPr>
      <w:r>
        <w:fldChar w:fldCharType="end"/>
      </w:r>
      <w:r>
        <w:fldChar w:fldCharType="begin"/>
      </w:r>
      <w:r>
        <w:instrText xml:space="preserve"> TOA \h \c "5" </w:instrText>
      </w:r>
      <w:r>
        <w:fldChar w:fldCharType="separate"/>
      </w:r>
      <w:r>
        <w:rPr>
          <w:noProof/>
        </w:rPr>
        <w:t>DOMESTIC CASES</w:t>
      </w:r>
    </w:p>
    <w:p w14:paraId="3BAF00E6" w14:textId="77777777" w:rsidR="000B5DB7" w:rsidRDefault="000B5DB7" w:rsidP="00015CF2">
      <w:pPr>
        <w:pStyle w:val="Textoconsangra"/>
        <w:tabs>
          <w:tab w:val="right" w:leader="dot" w:pos="9240"/>
        </w:tabs>
        <w:rPr>
          <w:noProof/>
        </w:rPr>
      </w:pPr>
      <w:r w:rsidRPr="00FA74FD">
        <w:rPr>
          <w:i/>
          <w:noProof/>
        </w:rPr>
        <w:t>Amparo Directo en Revisión 496/2014</w:t>
      </w:r>
      <w:r>
        <w:rPr>
          <w:noProof/>
        </w:rPr>
        <w:t>, National Supreme Court of Justice (Mexico) (8 October 2014)</w:t>
      </w:r>
      <w:r>
        <w:rPr>
          <w:noProof/>
        </w:rPr>
        <w:tab/>
        <w:t>26</w:t>
      </w:r>
    </w:p>
    <w:p w14:paraId="43C24B40" w14:textId="77777777" w:rsidR="000B5DB7" w:rsidRDefault="000B5DB7" w:rsidP="00015CF2">
      <w:pPr>
        <w:pStyle w:val="Textoconsangra"/>
        <w:tabs>
          <w:tab w:val="right" w:leader="dot" w:pos="9240"/>
        </w:tabs>
        <w:rPr>
          <w:noProof/>
        </w:rPr>
      </w:pPr>
      <w:r w:rsidRPr="00FA74FD">
        <w:rPr>
          <w:i/>
          <w:noProof/>
        </w:rPr>
        <w:t>Amparo Directo en Revisión 517/2011</w:t>
      </w:r>
      <w:r>
        <w:rPr>
          <w:noProof/>
        </w:rPr>
        <w:t>, National Supreme Court of Justice (Mexico) (23 January 2013) pp. 86.</w:t>
      </w:r>
      <w:r>
        <w:rPr>
          <w:noProof/>
        </w:rPr>
        <w:tab/>
        <w:t>27</w:t>
      </w:r>
    </w:p>
    <w:p w14:paraId="0FCDABF9" w14:textId="77777777" w:rsidR="000B5DB7" w:rsidRDefault="000B5DB7" w:rsidP="00015CF2">
      <w:pPr>
        <w:pStyle w:val="Textoconsangra"/>
        <w:tabs>
          <w:tab w:val="right" w:leader="dot" w:pos="9240"/>
        </w:tabs>
        <w:rPr>
          <w:noProof/>
        </w:rPr>
      </w:pPr>
      <w:r w:rsidRPr="00FA74FD">
        <w:rPr>
          <w:i/>
          <w:noProof/>
        </w:rPr>
        <w:t>Case of F. &amp; T., 2 BvR 2115/01</w:t>
      </w:r>
      <w:r>
        <w:rPr>
          <w:noProof/>
        </w:rPr>
        <w:t>, Federal Constitutional Court (Germany) (19 September 2019)</w:t>
      </w:r>
      <w:r>
        <w:rPr>
          <w:noProof/>
        </w:rPr>
        <w:tab/>
        <w:t>26</w:t>
      </w:r>
    </w:p>
    <w:p w14:paraId="604B1B23" w14:textId="77777777" w:rsidR="000B5DB7" w:rsidRDefault="000B5DB7" w:rsidP="00015CF2">
      <w:pPr>
        <w:pStyle w:val="Textoconsangra"/>
        <w:tabs>
          <w:tab w:val="right" w:leader="dot" w:pos="9240"/>
        </w:tabs>
        <w:rPr>
          <w:noProof/>
        </w:rPr>
      </w:pPr>
      <w:r w:rsidRPr="00FA74FD">
        <w:rPr>
          <w:i/>
          <w:noProof/>
        </w:rPr>
        <w:t>Osagiede v. United States</w:t>
      </w:r>
      <w:r>
        <w:rPr>
          <w:noProof/>
        </w:rPr>
        <w:t>, United States Court of Appeals, Seventh Circuit (9 September 2008)</w:t>
      </w:r>
      <w:r>
        <w:rPr>
          <w:noProof/>
        </w:rPr>
        <w:tab/>
        <w:t>27</w:t>
      </w:r>
    </w:p>
    <w:p w14:paraId="1559CE85" w14:textId="77777777" w:rsidR="000B5DB7" w:rsidRDefault="000B5DB7" w:rsidP="00015CF2">
      <w:pPr>
        <w:pStyle w:val="Encabezadodelista"/>
        <w:tabs>
          <w:tab w:val="right" w:leader="dot" w:pos="9240"/>
        </w:tabs>
        <w:rPr>
          <w:rFonts w:asciiTheme="minorHAnsi" w:eastAsiaTheme="minorEastAsia" w:hAnsiTheme="minorHAnsi" w:cstheme="minorBidi"/>
          <w:b w:val="0"/>
          <w:bCs w:val="0"/>
          <w:noProof/>
          <w:sz w:val="22"/>
          <w:szCs w:val="22"/>
        </w:rPr>
      </w:pPr>
      <w:r>
        <w:fldChar w:fldCharType="end"/>
      </w:r>
      <w:r>
        <w:fldChar w:fldCharType="begin"/>
      </w:r>
      <w:r>
        <w:instrText xml:space="preserve"> TOA \h \c "6" </w:instrText>
      </w:r>
      <w:r>
        <w:fldChar w:fldCharType="separate"/>
      </w:r>
      <w:r>
        <w:rPr>
          <w:noProof/>
        </w:rPr>
        <w:t>BOOKS, CHAPTERS AND ARTICLES</w:t>
      </w:r>
    </w:p>
    <w:p w14:paraId="31547A91" w14:textId="77777777" w:rsidR="000B5DB7" w:rsidRDefault="000B5DB7" w:rsidP="00015CF2">
      <w:pPr>
        <w:pStyle w:val="Textoconsangra"/>
        <w:tabs>
          <w:tab w:val="right" w:leader="dot" w:pos="9240"/>
        </w:tabs>
        <w:rPr>
          <w:noProof/>
        </w:rPr>
      </w:pPr>
      <w:r>
        <w:rPr>
          <w:noProof/>
        </w:rPr>
        <w:t xml:space="preserve">Adim, L. </w:t>
      </w:r>
      <w:r w:rsidRPr="002F5E4E">
        <w:rPr>
          <w:i/>
          <w:noProof/>
        </w:rPr>
        <w:t>Residence and Citizenship by Investment: an updated database on Immigrant Investor Programs</w:t>
      </w:r>
      <w:r>
        <w:rPr>
          <w:noProof/>
        </w:rPr>
        <w:t xml:space="preserve"> (FLUB 2021)</w:t>
      </w:r>
      <w:r>
        <w:rPr>
          <w:noProof/>
        </w:rPr>
        <w:tab/>
        <w:t>22</w:t>
      </w:r>
    </w:p>
    <w:p w14:paraId="10EED3A3" w14:textId="77777777" w:rsidR="000B5DB7" w:rsidRDefault="000B5DB7" w:rsidP="00015CF2">
      <w:pPr>
        <w:pStyle w:val="Textoconsangra"/>
        <w:tabs>
          <w:tab w:val="right" w:leader="dot" w:pos="9240"/>
        </w:tabs>
        <w:rPr>
          <w:noProof/>
        </w:rPr>
      </w:pPr>
      <w:r>
        <w:rPr>
          <w:noProof/>
        </w:rPr>
        <w:t>Ahmadov</w:t>
      </w:r>
      <w:r w:rsidRPr="002F5E4E">
        <w:rPr>
          <w:noProof/>
          <w:highlight w:val="white"/>
        </w:rPr>
        <w:t xml:space="preserve">, F. </w:t>
      </w:r>
      <w:r w:rsidRPr="002F5E4E">
        <w:rPr>
          <w:i/>
          <w:noProof/>
          <w:highlight w:val="white"/>
        </w:rPr>
        <w:t>The Right of Actio Popularis before International Courts and Tribunals</w:t>
      </w:r>
      <w:r w:rsidRPr="002F5E4E">
        <w:rPr>
          <w:noProof/>
          <w:highlight w:val="white"/>
        </w:rPr>
        <w:t xml:space="preserve"> (Brill Nijhoff 2018)</w:t>
      </w:r>
      <w:r>
        <w:rPr>
          <w:noProof/>
        </w:rPr>
        <w:tab/>
        <w:t>3</w:t>
      </w:r>
    </w:p>
    <w:p w14:paraId="3539C837" w14:textId="77777777" w:rsidR="000B5DB7" w:rsidRDefault="000B5DB7" w:rsidP="00015CF2">
      <w:pPr>
        <w:pStyle w:val="Textoconsangra"/>
        <w:tabs>
          <w:tab w:val="right" w:leader="dot" w:pos="9240"/>
        </w:tabs>
        <w:rPr>
          <w:noProof/>
        </w:rPr>
      </w:pPr>
      <w:r>
        <w:rPr>
          <w:noProof/>
        </w:rPr>
        <w:t xml:space="preserve">Alipour, M., </w:t>
      </w:r>
      <w:r w:rsidRPr="002F5E4E">
        <w:rPr>
          <w:i/>
          <w:noProof/>
        </w:rPr>
        <w:t>The competence of the Security Council over situations or disputes arising from human rights violations by a State under Chapter VI of the United Nations Charter</w:t>
      </w:r>
      <w:r>
        <w:rPr>
          <w:noProof/>
        </w:rPr>
        <w:t xml:space="preserve"> (HJLS 2023)</w:t>
      </w:r>
      <w:r>
        <w:rPr>
          <w:noProof/>
        </w:rPr>
        <w:tab/>
        <w:t>30</w:t>
      </w:r>
    </w:p>
    <w:p w14:paraId="04C2C212" w14:textId="77777777" w:rsidR="000B5DB7" w:rsidRDefault="000B5DB7" w:rsidP="00015CF2">
      <w:pPr>
        <w:pStyle w:val="Textoconsangra"/>
        <w:tabs>
          <w:tab w:val="right" w:leader="dot" w:pos="9240"/>
        </w:tabs>
        <w:rPr>
          <w:noProof/>
        </w:rPr>
      </w:pPr>
      <w:r>
        <w:rPr>
          <w:noProof/>
        </w:rPr>
        <w:t>Bello, J.,</w:t>
      </w:r>
      <w:r w:rsidRPr="002F5E4E">
        <w:rPr>
          <w:i/>
          <w:noProof/>
        </w:rPr>
        <w:t xml:space="preserve"> If Mr Nottebohm Had a Golden Passport: A Study of the Obligations for Third Countries under International Law Regarding Citizenship-For-Sale</w:t>
      </w:r>
      <w:r>
        <w:rPr>
          <w:noProof/>
        </w:rPr>
        <w:t xml:space="preserve"> (CILJ 2019)</w:t>
      </w:r>
      <w:r>
        <w:rPr>
          <w:noProof/>
        </w:rPr>
        <w:tab/>
        <w:t>23</w:t>
      </w:r>
    </w:p>
    <w:p w14:paraId="3E9BE915" w14:textId="77777777" w:rsidR="000B5DB7" w:rsidRPr="000B5DB7" w:rsidRDefault="000B5DB7" w:rsidP="00015CF2">
      <w:pPr>
        <w:pStyle w:val="Textoconsangra"/>
        <w:tabs>
          <w:tab w:val="right" w:leader="dot" w:pos="9240"/>
        </w:tabs>
        <w:rPr>
          <w:noProof/>
          <w:lang w:val="fr-CA"/>
        </w:rPr>
      </w:pPr>
      <w:r w:rsidRPr="000B5DB7">
        <w:rPr>
          <w:noProof/>
          <w:lang w:val="fr-CA"/>
        </w:rPr>
        <w:t xml:space="preserve">Chow, P. </w:t>
      </w:r>
      <w:r w:rsidRPr="000B5DB7">
        <w:rPr>
          <w:i/>
          <w:noProof/>
          <w:lang w:val="fr-CA"/>
        </w:rPr>
        <w:t xml:space="preserve">On Obligations Erga Omnes Partes </w:t>
      </w:r>
      <w:r w:rsidRPr="000B5DB7">
        <w:rPr>
          <w:noProof/>
          <w:lang w:val="fr-CA"/>
        </w:rPr>
        <w:t>(GJIL, 2020)</w:t>
      </w:r>
      <w:r w:rsidRPr="000B5DB7">
        <w:rPr>
          <w:noProof/>
          <w:lang w:val="fr-CA"/>
        </w:rPr>
        <w:tab/>
        <w:t>2</w:t>
      </w:r>
    </w:p>
    <w:p w14:paraId="7E499B79" w14:textId="77777777" w:rsidR="000B5DB7" w:rsidRDefault="000B5DB7" w:rsidP="00015CF2">
      <w:pPr>
        <w:pStyle w:val="Textoconsangra"/>
        <w:tabs>
          <w:tab w:val="right" w:leader="dot" w:pos="9240"/>
        </w:tabs>
        <w:rPr>
          <w:noProof/>
        </w:rPr>
      </w:pPr>
      <w:r>
        <w:rPr>
          <w:noProof/>
        </w:rPr>
        <w:t xml:space="preserve">Fry, J. </w:t>
      </w:r>
      <w:r w:rsidRPr="002F5E4E">
        <w:rPr>
          <w:i/>
          <w:noProof/>
        </w:rPr>
        <w:t xml:space="preserve">Dionysian Disarmament: Security Council WMD Coercive Disarmament Measures and </w:t>
      </w:r>
      <w:r w:rsidRPr="002F5E4E">
        <w:rPr>
          <w:i/>
          <w:noProof/>
        </w:rPr>
        <w:lastRenderedPageBreak/>
        <w:t>Their Legal Implications</w:t>
      </w:r>
      <w:r>
        <w:rPr>
          <w:noProof/>
        </w:rPr>
        <w:t xml:space="preserve"> (MJIL 2008)</w:t>
      </w:r>
      <w:r>
        <w:rPr>
          <w:noProof/>
        </w:rPr>
        <w:tab/>
        <w:t>35</w:t>
      </w:r>
    </w:p>
    <w:p w14:paraId="68DE70C8" w14:textId="77777777" w:rsidR="000B5DB7" w:rsidRDefault="000B5DB7" w:rsidP="00015CF2">
      <w:pPr>
        <w:pStyle w:val="Textoconsangra"/>
        <w:tabs>
          <w:tab w:val="right" w:leader="dot" w:pos="9240"/>
        </w:tabs>
        <w:rPr>
          <w:noProof/>
        </w:rPr>
      </w:pPr>
      <w:r>
        <w:rPr>
          <w:noProof/>
        </w:rPr>
        <w:t xml:space="preserve">Hathaway, O. and Hachem, A. and Cole, J. </w:t>
      </w:r>
      <w:r w:rsidRPr="002F5E4E">
        <w:rPr>
          <w:i/>
          <w:noProof/>
        </w:rPr>
        <w:t>A New Tool for Enforcing Human Rights: Erga Omnes Partes Standing</w:t>
      </w:r>
      <w:r>
        <w:rPr>
          <w:noProof/>
        </w:rPr>
        <w:t xml:space="preserve"> (CJTL, 2023)</w:t>
      </w:r>
      <w:r>
        <w:rPr>
          <w:noProof/>
        </w:rPr>
        <w:tab/>
        <w:t>3</w:t>
      </w:r>
    </w:p>
    <w:p w14:paraId="3899A45D" w14:textId="77777777" w:rsidR="000B5DB7" w:rsidRDefault="000B5DB7" w:rsidP="00015CF2">
      <w:pPr>
        <w:pStyle w:val="Textoconsangra"/>
        <w:tabs>
          <w:tab w:val="right" w:leader="dot" w:pos="9240"/>
        </w:tabs>
        <w:rPr>
          <w:noProof/>
        </w:rPr>
      </w:pPr>
      <w:r w:rsidRPr="002F5E4E">
        <w:rPr>
          <w:noProof/>
        </w:rPr>
        <w:t xml:space="preserve">Higgins, R. </w:t>
      </w:r>
      <w:r w:rsidRPr="002F5E4E">
        <w:rPr>
          <w:i/>
          <w:noProof/>
        </w:rPr>
        <w:t>The Advisory opinion of Namibia: Which UN Resolutions are binding under Article 25 of the Charter?</w:t>
      </w:r>
      <w:r w:rsidRPr="002F5E4E">
        <w:rPr>
          <w:noProof/>
        </w:rPr>
        <w:t xml:space="preserve"> (CUP  1972)</w:t>
      </w:r>
      <w:r>
        <w:rPr>
          <w:noProof/>
        </w:rPr>
        <w:tab/>
        <w:t>34</w:t>
      </w:r>
    </w:p>
    <w:p w14:paraId="7943595A" w14:textId="77777777" w:rsidR="000B5DB7" w:rsidRDefault="000B5DB7" w:rsidP="00015CF2">
      <w:pPr>
        <w:pStyle w:val="Textoconsangra"/>
        <w:tabs>
          <w:tab w:val="right" w:leader="dot" w:pos="9240"/>
        </w:tabs>
        <w:rPr>
          <w:noProof/>
        </w:rPr>
      </w:pPr>
      <w:r>
        <w:rPr>
          <w:noProof/>
        </w:rPr>
        <w:t xml:space="preserve">Lazarus, L. </w:t>
      </w:r>
      <w:r w:rsidRPr="002F5E4E">
        <w:rPr>
          <w:i/>
          <w:noProof/>
        </w:rPr>
        <w:t>Red Flags Among Golden Passports: An Analysis of Chinese Influence In Five Caribbean Citizenship By Investment Programs</w:t>
      </w:r>
      <w:r>
        <w:rPr>
          <w:noProof/>
        </w:rPr>
        <w:t xml:space="preserve"> (FIU 2023)</w:t>
      </w:r>
      <w:r>
        <w:rPr>
          <w:noProof/>
        </w:rPr>
        <w:tab/>
        <w:t>22</w:t>
      </w:r>
    </w:p>
    <w:p w14:paraId="27C7BC2C" w14:textId="77777777" w:rsidR="000B5DB7" w:rsidRDefault="000B5DB7" w:rsidP="00015CF2">
      <w:pPr>
        <w:pStyle w:val="Textoconsangra"/>
        <w:tabs>
          <w:tab w:val="right" w:leader="dot" w:pos="9240"/>
        </w:tabs>
        <w:rPr>
          <w:noProof/>
        </w:rPr>
      </w:pPr>
      <w:r>
        <w:rPr>
          <w:noProof/>
        </w:rPr>
        <w:t>Lee, L., Quigley, J.B., ‘</w:t>
      </w:r>
      <w:r w:rsidRPr="002F5E4E">
        <w:rPr>
          <w:i/>
          <w:noProof/>
        </w:rPr>
        <w:t xml:space="preserve">Consular law and practice’ </w:t>
      </w:r>
      <w:r>
        <w:rPr>
          <w:noProof/>
        </w:rPr>
        <w:t>(OUP 2008)</w:t>
      </w:r>
      <w:r>
        <w:rPr>
          <w:noProof/>
        </w:rPr>
        <w:tab/>
        <w:t>27</w:t>
      </w:r>
    </w:p>
    <w:p w14:paraId="348A9BCF" w14:textId="77777777" w:rsidR="000B5DB7" w:rsidRDefault="000B5DB7" w:rsidP="00015CF2">
      <w:pPr>
        <w:pStyle w:val="Textoconsangra"/>
        <w:tabs>
          <w:tab w:val="right" w:leader="dot" w:pos="9240"/>
        </w:tabs>
        <w:rPr>
          <w:noProof/>
        </w:rPr>
      </w:pPr>
      <w:r>
        <w:rPr>
          <w:noProof/>
        </w:rPr>
        <w:t xml:space="preserve">Orakhelashvili, A. </w:t>
      </w:r>
      <w:r w:rsidRPr="002F5E4E">
        <w:rPr>
          <w:i/>
          <w:noProof/>
        </w:rPr>
        <w:t>Collective Security</w:t>
      </w:r>
      <w:r>
        <w:rPr>
          <w:noProof/>
        </w:rPr>
        <w:t xml:space="preserve"> (OUP 2011)</w:t>
      </w:r>
      <w:r>
        <w:rPr>
          <w:noProof/>
        </w:rPr>
        <w:tab/>
        <w:t>35</w:t>
      </w:r>
    </w:p>
    <w:p w14:paraId="4488140A" w14:textId="77777777" w:rsidR="000B5DB7" w:rsidRDefault="000B5DB7" w:rsidP="00015CF2">
      <w:pPr>
        <w:pStyle w:val="Textoconsangra"/>
        <w:tabs>
          <w:tab w:val="right" w:leader="dot" w:pos="9240"/>
        </w:tabs>
        <w:rPr>
          <w:noProof/>
        </w:rPr>
      </w:pPr>
      <w:r>
        <w:rPr>
          <w:noProof/>
        </w:rPr>
        <w:t>Quigley, J., Aceves, W., Shank, A. The</w:t>
      </w:r>
      <w:r w:rsidRPr="002F5E4E">
        <w:rPr>
          <w:i/>
          <w:noProof/>
        </w:rPr>
        <w:t xml:space="preserve"> law of consular Access: A documentary guid</w:t>
      </w:r>
      <w:r>
        <w:rPr>
          <w:noProof/>
        </w:rPr>
        <w:t>e (CUP 2010)</w:t>
      </w:r>
      <w:r>
        <w:rPr>
          <w:noProof/>
        </w:rPr>
        <w:tab/>
        <w:t>26</w:t>
      </w:r>
    </w:p>
    <w:p w14:paraId="3375942F" w14:textId="77777777" w:rsidR="000B5DB7" w:rsidRDefault="000B5DB7" w:rsidP="00015CF2">
      <w:pPr>
        <w:pStyle w:val="Textoconsangra"/>
        <w:tabs>
          <w:tab w:val="right" w:leader="dot" w:pos="9240"/>
        </w:tabs>
        <w:rPr>
          <w:noProof/>
        </w:rPr>
      </w:pPr>
      <w:r>
        <w:rPr>
          <w:noProof/>
        </w:rPr>
        <w:t xml:space="preserve">Ruys, T. </w:t>
      </w:r>
      <w:r w:rsidRPr="002F5E4E">
        <w:rPr>
          <w:i/>
          <w:noProof/>
        </w:rPr>
        <w:t xml:space="preserve">Legal Standing and Public Interest Litigation - Are All Erga Omnes Breaches Equal? </w:t>
      </w:r>
      <w:r>
        <w:rPr>
          <w:noProof/>
        </w:rPr>
        <w:t>(CJIL 2021)</w:t>
      </w:r>
      <w:r>
        <w:rPr>
          <w:noProof/>
        </w:rPr>
        <w:tab/>
        <w:t>7</w:t>
      </w:r>
    </w:p>
    <w:p w14:paraId="40C28CAA" w14:textId="77777777" w:rsidR="000B5DB7" w:rsidRDefault="000B5DB7" w:rsidP="00015CF2">
      <w:pPr>
        <w:pStyle w:val="Textoconsangra"/>
        <w:tabs>
          <w:tab w:val="right" w:leader="dot" w:pos="9240"/>
        </w:tabs>
        <w:rPr>
          <w:noProof/>
        </w:rPr>
      </w:pPr>
      <w:r>
        <w:rPr>
          <w:noProof/>
        </w:rPr>
        <w:t xml:space="preserve">Salem, N., </w:t>
      </w:r>
      <w:r w:rsidRPr="002F5E4E">
        <w:rPr>
          <w:i/>
          <w:noProof/>
        </w:rPr>
        <w:t>Sharia Reservations to Human Rights Treaties</w:t>
      </w:r>
      <w:r>
        <w:rPr>
          <w:noProof/>
        </w:rPr>
        <w:t xml:space="preserve"> (MPEPIL 2020)</w:t>
      </w:r>
      <w:r>
        <w:rPr>
          <w:noProof/>
        </w:rPr>
        <w:tab/>
        <w:t>15</w:t>
      </w:r>
    </w:p>
    <w:p w14:paraId="029B3B71" w14:textId="77777777" w:rsidR="000B5DB7" w:rsidRDefault="000B5DB7" w:rsidP="00015CF2">
      <w:pPr>
        <w:pStyle w:val="Textoconsangra"/>
        <w:tabs>
          <w:tab w:val="right" w:leader="dot" w:pos="9240"/>
        </w:tabs>
        <w:rPr>
          <w:noProof/>
        </w:rPr>
      </w:pPr>
      <w:r>
        <w:rPr>
          <w:noProof/>
        </w:rPr>
        <w:t>Schweisfurth, T., Ch.VI Pacific Settlement of Disputes - Article 34 in Bruno Simma, Daniel-Erasmus Khan, Georg Nolte, Andreas Paulus, Nikolai Wessendorf (eds), ‘The Charter of the United Nations: A Commentary, Volume I (3rd Edition)’ (MPEPIL 2012)</w:t>
      </w:r>
      <w:r>
        <w:rPr>
          <w:noProof/>
        </w:rPr>
        <w:tab/>
        <w:t>30</w:t>
      </w:r>
    </w:p>
    <w:p w14:paraId="1843FDD3" w14:textId="77777777" w:rsidR="000B5DB7" w:rsidRDefault="000B5DB7" w:rsidP="00015CF2">
      <w:pPr>
        <w:pStyle w:val="Textoconsangra"/>
        <w:tabs>
          <w:tab w:val="right" w:leader="dot" w:pos="9240"/>
        </w:tabs>
        <w:rPr>
          <w:noProof/>
        </w:rPr>
      </w:pPr>
      <w:r>
        <w:rPr>
          <w:noProof/>
        </w:rPr>
        <w:t xml:space="preserve">Tams, C. </w:t>
      </w:r>
      <w:r w:rsidRPr="002F5E4E">
        <w:rPr>
          <w:i/>
          <w:noProof/>
        </w:rPr>
        <w:t>Enforcing Obligations Erga Omnes in International Law</w:t>
      </w:r>
      <w:r>
        <w:rPr>
          <w:noProof/>
        </w:rPr>
        <w:t xml:space="preserve"> (CUP, 2005) [</w:t>
      </w:r>
      <w:r w:rsidRPr="002F5E4E">
        <w:rPr>
          <w:i/>
          <w:noProof/>
        </w:rPr>
        <w:t>‘Tams 2005’</w:t>
      </w:r>
      <w:r>
        <w:rPr>
          <w:noProof/>
        </w:rPr>
        <w:t>]</w:t>
      </w:r>
      <w:r>
        <w:rPr>
          <w:noProof/>
        </w:rPr>
        <w:tab/>
        <w:t>3, 6</w:t>
      </w:r>
    </w:p>
    <w:p w14:paraId="036D3BBC" w14:textId="77777777" w:rsidR="000B5DB7" w:rsidRDefault="000B5DB7" w:rsidP="00015CF2">
      <w:pPr>
        <w:pStyle w:val="Textoconsangra"/>
        <w:tabs>
          <w:tab w:val="right" w:leader="dot" w:pos="9240"/>
        </w:tabs>
        <w:rPr>
          <w:noProof/>
        </w:rPr>
      </w:pPr>
      <w:r>
        <w:rPr>
          <w:noProof/>
        </w:rPr>
        <w:t xml:space="preserve">Taylor, P. </w:t>
      </w:r>
      <w:r w:rsidRPr="002F5E4E">
        <w:rPr>
          <w:i/>
          <w:noProof/>
        </w:rPr>
        <w:t xml:space="preserve">A Commentary on the International Covenant on Civil and Political Rights </w:t>
      </w:r>
      <w:r>
        <w:rPr>
          <w:noProof/>
        </w:rPr>
        <w:t>(CUP 2020)</w:t>
      </w:r>
      <w:r>
        <w:rPr>
          <w:noProof/>
        </w:rPr>
        <w:tab/>
        <w:t>19</w:t>
      </w:r>
    </w:p>
    <w:p w14:paraId="109948A2" w14:textId="77777777" w:rsidR="000B5DB7" w:rsidRDefault="000B5DB7" w:rsidP="00015CF2">
      <w:pPr>
        <w:pStyle w:val="Textoconsangra"/>
        <w:tabs>
          <w:tab w:val="right" w:leader="dot" w:pos="9240"/>
        </w:tabs>
        <w:rPr>
          <w:noProof/>
        </w:rPr>
      </w:pPr>
      <w:r>
        <w:rPr>
          <w:noProof/>
        </w:rPr>
        <w:t xml:space="preserve">Wojcik, M. </w:t>
      </w:r>
      <w:r w:rsidRPr="002F5E4E">
        <w:rPr>
          <w:i/>
          <w:noProof/>
        </w:rPr>
        <w:t xml:space="preserve">Consular Notification for Dual Nationals </w:t>
      </w:r>
      <w:r>
        <w:rPr>
          <w:noProof/>
        </w:rPr>
        <w:t>(UIC 2013)</w:t>
      </w:r>
      <w:r>
        <w:rPr>
          <w:noProof/>
        </w:rPr>
        <w:tab/>
        <w:t>27</w:t>
      </w:r>
    </w:p>
    <w:p w14:paraId="63841E34" w14:textId="77777777" w:rsidR="000B5DB7" w:rsidRDefault="000B5DB7" w:rsidP="00015CF2">
      <w:pPr>
        <w:pStyle w:val="Textoconsangra"/>
        <w:tabs>
          <w:tab w:val="right" w:leader="dot" w:pos="9240"/>
        </w:tabs>
        <w:rPr>
          <w:noProof/>
        </w:rPr>
      </w:pPr>
      <w:r>
        <w:rPr>
          <w:noProof/>
        </w:rPr>
        <w:t xml:space="preserve">Wood, M., </w:t>
      </w:r>
      <w:r w:rsidRPr="002F5E4E">
        <w:rPr>
          <w:i/>
          <w:noProof/>
        </w:rPr>
        <w:t xml:space="preserve">The Interpretation of Security Council Resolutions </w:t>
      </w:r>
      <w:r>
        <w:rPr>
          <w:noProof/>
        </w:rPr>
        <w:t>(OUP 1998)</w:t>
      </w:r>
      <w:r>
        <w:rPr>
          <w:noProof/>
        </w:rPr>
        <w:tab/>
        <w:t>37</w:t>
      </w:r>
    </w:p>
    <w:p w14:paraId="5E87A94D" w14:textId="77777777" w:rsidR="000B5DB7" w:rsidRPr="000B5DB7" w:rsidRDefault="000B5DB7" w:rsidP="00015CF2">
      <w:pPr>
        <w:pStyle w:val="Textoconsangra"/>
        <w:tabs>
          <w:tab w:val="right" w:leader="dot" w:pos="9240"/>
        </w:tabs>
        <w:rPr>
          <w:noProof/>
          <w:lang w:val="fr-CA"/>
        </w:rPr>
      </w:pPr>
      <w:r w:rsidRPr="000B5DB7">
        <w:rPr>
          <w:noProof/>
          <w:lang w:val="fr-CA"/>
        </w:rPr>
        <w:t xml:space="preserve">Ziegler, K., </w:t>
      </w:r>
      <w:r w:rsidRPr="000B5DB7">
        <w:rPr>
          <w:i/>
          <w:noProof/>
          <w:lang w:val="fr-CA"/>
        </w:rPr>
        <w:t xml:space="preserve">Domaine Réservé </w:t>
      </w:r>
      <w:r w:rsidRPr="000B5DB7">
        <w:rPr>
          <w:noProof/>
          <w:lang w:val="fr-CA"/>
        </w:rPr>
        <w:t>(MPIL 2013)</w:t>
      </w:r>
      <w:r w:rsidRPr="000B5DB7">
        <w:rPr>
          <w:noProof/>
          <w:lang w:val="fr-CA"/>
        </w:rPr>
        <w:tab/>
        <w:t>30</w:t>
      </w:r>
    </w:p>
    <w:p w14:paraId="0D8B231A" w14:textId="77777777" w:rsidR="00AE7683" w:rsidRDefault="000B5DB7" w:rsidP="00015CF2">
      <w:pPr>
        <w:pStyle w:val="Encabezadodelista"/>
        <w:tabs>
          <w:tab w:val="right" w:leader="dot" w:pos="9240"/>
        </w:tabs>
        <w:rPr>
          <w:rFonts w:asciiTheme="minorHAnsi" w:eastAsiaTheme="minorEastAsia" w:hAnsiTheme="minorHAnsi" w:cstheme="minorBidi"/>
          <w:b w:val="0"/>
          <w:bCs w:val="0"/>
          <w:noProof/>
          <w:sz w:val="22"/>
          <w:szCs w:val="22"/>
        </w:rPr>
      </w:pPr>
      <w:r>
        <w:fldChar w:fldCharType="end"/>
      </w:r>
      <w:r w:rsidR="00AE7683">
        <w:fldChar w:fldCharType="begin"/>
      </w:r>
      <w:r w:rsidR="00AE7683">
        <w:instrText xml:space="preserve"> TOA \h \c "7" </w:instrText>
      </w:r>
      <w:r w:rsidR="00AE7683">
        <w:fldChar w:fldCharType="separate"/>
      </w:r>
      <w:r w:rsidR="00AE7683">
        <w:rPr>
          <w:noProof/>
        </w:rPr>
        <w:t>OTHER AUTHORITIES</w:t>
      </w:r>
    </w:p>
    <w:p w14:paraId="2DCE60EE" w14:textId="77777777" w:rsidR="00AE7683" w:rsidRDefault="00AE7683" w:rsidP="00015CF2">
      <w:pPr>
        <w:pStyle w:val="Textoconsangra"/>
        <w:tabs>
          <w:tab w:val="right" w:leader="dot" w:pos="9240"/>
        </w:tabs>
        <w:rPr>
          <w:noProof/>
        </w:rPr>
      </w:pPr>
      <w:r w:rsidRPr="000A256A">
        <w:rPr>
          <w:noProof/>
          <w:highlight w:val="white"/>
        </w:rPr>
        <w:t>Council of Europe, ‘Access to nationality and the effective implementation of the European Convention on Nationality’ (9 April 2014) Res 1989</w:t>
      </w:r>
      <w:r>
        <w:rPr>
          <w:noProof/>
        </w:rPr>
        <w:tab/>
        <w:t>7</w:t>
      </w:r>
    </w:p>
    <w:p w14:paraId="6169650C" w14:textId="77777777" w:rsidR="00AE7683" w:rsidRDefault="00AE7683" w:rsidP="00015CF2">
      <w:pPr>
        <w:pStyle w:val="Textoconsangra"/>
        <w:tabs>
          <w:tab w:val="right" w:leader="dot" w:pos="9240"/>
        </w:tabs>
        <w:rPr>
          <w:noProof/>
        </w:rPr>
      </w:pPr>
      <w:r w:rsidRPr="000A256A">
        <w:rPr>
          <w:i/>
          <w:noProof/>
        </w:rPr>
        <w:t>East Timor (Portugal v Australia)</w:t>
      </w:r>
      <w:r>
        <w:rPr>
          <w:noProof/>
        </w:rPr>
        <w:t xml:space="preserve"> (Memorial of Portugal) [1991]</w:t>
      </w:r>
      <w:r>
        <w:rPr>
          <w:noProof/>
        </w:rPr>
        <w:tab/>
        <w:t>6</w:t>
      </w:r>
    </w:p>
    <w:p w14:paraId="23566E5A" w14:textId="77777777" w:rsidR="00AE7683" w:rsidRDefault="00AE7683" w:rsidP="00015CF2">
      <w:pPr>
        <w:pStyle w:val="Textoconsangra"/>
        <w:tabs>
          <w:tab w:val="right" w:leader="dot" w:pos="9240"/>
        </w:tabs>
        <w:rPr>
          <w:noProof/>
        </w:rPr>
      </w:pPr>
      <w:r>
        <w:rPr>
          <w:noProof/>
        </w:rPr>
        <w:t>European Commission ‘infringements against Cyprus and Malta for selling EU citizenship’ (20 October 2020)</w:t>
      </w:r>
      <w:r>
        <w:rPr>
          <w:noProof/>
        </w:rPr>
        <w:tab/>
        <w:t>22</w:t>
      </w:r>
    </w:p>
    <w:p w14:paraId="45D4493D" w14:textId="77777777" w:rsidR="00AE7683" w:rsidRDefault="00AE7683" w:rsidP="00015CF2">
      <w:pPr>
        <w:pStyle w:val="Textoconsangra"/>
        <w:tabs>
          <w:tab w:val="right" w:leader="dot" w:pos="9240"/>
        </w:tabs>
        <w:rPr>
          <w:noProof/>
        </w:rPr>
      </w:pPr>
      <w:r>
        <w:rPr>
          <w:noProof/>
        </w:rPr>
        <w:t xml:space="preserve">European Commission of Human Rights ‘Austria v. Italy - Decision of the Commission as to the Admissibility </w:t>
      </w:r>
      <w:r w:rsidRPr="000A256A">
        <w:rPr>
          <w:noProof/>
          <w:highlight w:val="white"/>
        </w:rPr>
        <w:t>of Application No. 788/60</w:t>
      </w:r>
      <w:r>
        <w:rPr>
          <w:noProof/>
        </w:rPr>
        <w:t>’ (11 January 1961)</w:t>
      </w:r>
      <w:r>
        <w:rPr>
          <w:noProof/>
        </w:rPr>
        <w:tab/>
        <w:t>2</w:t>
      </w:r>
    </w:p>
    <w:p w14:paraId="7C0A7B21" w14:textId="77777777" w:rsidR="00AE7683" w:rsidRDefault="00AE7683" w:rsidP="00015CF2">
      <w:pPr>
        <w:pStyle w:val="Textoconsangra"/>
        <w:tabs>
          <w:tab w:val="right" w:leader="dot" w:pos="9240"/>
        </w:tabs>
        <w:rPr>
          <w:noProof/>
        </w:rPr>
      </w:pPr>
      <w:r>
        <w:rPr>
          <w:noProof/>
        </w:rPr>
        <w:t xml:space="preserve">European Parliament Resolution 2013/2995 ‘on EU citizenship for sale’ (16 January 2014) OJ </w:t>
      </w:r>
      <w:r>
        <w:rPr>
          <w:noProof/>
        </w:rPr>
        <w:lastRenderedPageBreak/>
        <w:t>C482/16</w:t>
      </w:r>
      <w:r>
        <w:rPr>
          <w:noProof/>
        </w:rPr>
        <w:tab/>
        <w:t>22</w:t>
      </w:r>
    </w:p>
    <w:p w14:paraId="39229640" w14:textId="77777777" w:rsidR="00AE7683" w:rsidRDefault="00AE7683" w:rsidP="00015CF2">
      <w:pPr>
        <w:pStyle w:val="Textoconsangra"/>
        <w:tabs>
          <w:tab w:val="right" w:leader="dot" w:pos="9240"/>
        </w:tabs>
        <w:rPr>
          <w:noProof/>
        </w:rPr>
      </w:pPr>
      <w:r>
        <w:rPr>
          <w:noProof/>
        </w:rPr>
        <w:t>ILC ‘Report of the International Law Commission on the work of its sixty-fifth session’ (6 May–7 June and 8 July–9 August 2013) UN Doc A/68/10</w:t>
      </w:r>
      <w:r>
        <w:rPr>
          <w:noProof/>
        </w:rPr>
        <w:tab/>
        <w:t>37</w:t>
      </w:r>
    </w:p>
    <w:p w14:paraId="7EEAF96D" w14:textId="77777777" w:rsidR="00AE7683" w:rsidRDefault="00AE7683" w:rsidP="00015CF2">
      <w:pPr>
        <w:pStyle w:val="Textoconsangra"/>
        <w:tabs>
          <w:tab w:val="right" w:leader="dot" w:pos="9240"/>
        </w:tabs>
        <w:rPr>
          <w:noProof/>
        </w:rPr>
      </w:pPr>
      <w:r>
        <w:rPr>
          <w:noProof/>
        </w:rPr>
        <w:t>ILC ‘The practice of the United Nations, the specialized agencies and the International Atomic Energy Agency concerning their status, privileges and immunities: study prepared by the Secretariat’ (1967) UN Doc A/CN.4/L.118</w:t>
      </w:r>
      <w:r>
        <w:rPr>
          <w:noProof/>
        </w:rPr>
        <w:tab/>
        <w:t>32</w:t>
      </w:r>
    </w:p>
    <w:p w14:paraId="176FC52F" w14:textId="77777777" w:rsidR="00AE7683" w:rsidRDefault="00AE7683" w:rsidP="00015CF2">
      <w:pPr>
        <w:pStyle w:val="Textoconsangra"/>
        <w:tabs>
          <w:tab w:val="right" w:leader="dot" w:pos="9240"/>
        </w:tabs>
        <w:rPr>
          <w:noProof/>
        </w:rPr>
      </w:pPr>
      <w:r w:rsidRPr="000A256A">
        <w:rPr>
          <w:noProof/>
          <w:highlight w:val="white"/>
        </w:rPr>
        <w:t>ILC, ‘Articles on Responsibility of States for Internationally Wrongful Act adopted by the ILC at its 53rd Session, annexed to G.A. Res. 56/83’ (12 December 2001) UN Doc A/RES/56/83 [‘ARSIWA’]</w:t>
      </w:r>
      <w:r>
        <w:rPr>
          <w:noProof/>
        </w:rPr>
        <w:tab/>
        <w:t>2, 5, 7, 20</w:t>
      </w:r>
    </w:p>
    <w:p w14:paraId="35EC55D8" w14:textId="77777777" w:rsidR="00AE7683" w:rsidRDefault="00AE7683" w:rsidP="00015CF2">
      <w:pPr>
        <w:pStyle w:val="Textoconsangra"/>
        <w:tabs>
          <w:tab w:val="right" w:leader="dot" w:pos="9240"/>
        </w:tabs>
        <w:rPr>
          <w:noProof/>
        </w:rPr>
      </w:pPr>
      <w:r>
        <w:rPr>
          <w:noProof/>
        </w:rPr>
        <w:t>ILC, ‘Draft Articles on Consular Relations adopted by the ILC at its Thirteenth Session, Extract from Volume II of the Official Records of the United Nations Conference on Consular Relations’ (4 March – 22 April 1963) UN Doc A/CONF.25/6</w:t>
      </w:r>
      <w:r>
        <w:rPr>
          <w:noProof/>
        </w:rPr>
        <w:tab/>
        <w:t>28</w:t>
      </w:r>
    </w:p>
    <w:p w14:paraId="46A61B08" w14:textId="77777777" w:rsidR="00AE7683" w:rsidRDefault="00AE7683" w:rsidP="00015CF2">
      <w:pPr>
        <w:pStyle w:val="Textoconsangra"/>
        <w:tabs>
          <w:tab w:val="right" w:leader="dot" w:pos="9240"/>
        </w:tabs>
        <w:rPr>
          <w:noProof/>
        </w:rPr>
      </w:pPr>
      <w:r>
        <w:rPr>
          <w:noProof/>
        </w:rPr>
        <w:t>ILC, ‘Draft Articles on Diplomatic Protection with Commentaries adopted by the ILC at its Fifty-eighth Session, annexed to ILC Report A/61/10’ (1 May–9 June and 3 July–11 August 2006) UN Doc A/RES/56/83, [‘</w:t>
      </w:r>
      <w:r w:rsidRPr="000A256A">
        <w:rPr>
          <w:i/>
          <w:noProof/>
        </w:rPr>
        <w:t>DADP with Commentaries</w:t>
      </w:r>
      <w:r>
        <w:rPr>
          <w:noProof/>
        </w:rPr>
        <w:t>’]</w:t>
      </w:r>
      <w:r>
        <w:rPr>
          <w:noProof/>
        </w:rPr>
        <w:tab/>
        <w:t>7, 22, 31</w:t>
      </w:r>
    </w:p>
    <w:p w14:paraId="6D67DA65" w14:textId="77777777" w:rsidR="00AE7683" w:rsidRDefault="00AE7683" w:rsidP="00015CF2">
      <w:pPr>
        <w:pStyle w:val="Textoconsangra"/>
        <w:tabs>
          <w:tab w:val="right" w:leader="dot" w:pos="9240"/>
        </w:tabs>
        <w:rPr>
          <w:noProof/>
        </w:rPr>
      </w:pPr>
      <w:r w:rsidRPr="000A256A">
        <w:rPr>
          <w:noProof/>
          <w:highlight w:val="white"/>
        </w:rPr>
        <w:t>ILC, ‘Draft conclusions on identification of customary international law with commentaries adopted by the ILC at its seventieth session, in 2018, and submitted to the UNGA as a part of the Commission’s report covering the work of that session’ UN Doc A/73/10</w:t>
      </w:r>
      <w:r>
        <w:rPr>
          <w:noProof/>
        </w:rPr>
        <w:tab/>
        <w:t>22</w:t>
      </w:r>
    </w:p>
    <w:p w14:paraId="44324263" w14:textId="77777777" w:rsidR="00AE7683" w:rsidRDefault="00AE7683" w:rsidP="00015CF2">
      <w:pPr>
        <w:pStyle w:val="Textoconsangra"/>
        <w:tabs>
          <w:tab w:val="right" w:leader="dot" w:pos="9240"/>
        </w:tabs>
        <w:rPr>
          <w:noProof/>
        </w:rPr>
      </w:pPr>
      <w:r w:rsidRPr="000A256A">
        <w:rPr>
          <w:noProof/>
          <w:highlight w:val="white"/>
        </w:rPr>
        <w:t>ILC, Articles on Responsibility of States for Internationally Wrongful Act with commentaries, adopted by the ILC at its 53rd Session., UN Doc A/56/10 (2001) [‘ARSIWA commentaries’]</w:t>
      </w:r>
      <w:r>
        <w:rPr>
          <w:noProof/>
        </w:rPr>
        <w:tab/>
        <w:t>6</w:t>
      </w:r>
    </w:p>
    <w:p w14:paraId="5729A6CE" w14:textId="77777777" w:rsidR="00AE7683" w:rsidRDefault="00AE7683" w:rsidP="00015CF2">
      <w:pPr>
        <w:pStyle w:val="Textoconsangra"/>
        <w:tabs>
          <w:tab w:val="right" w:leader="dot" w:pos="9240"/>
        </w:tabs>
        <w:rPr>
          <w:noProof/>
        </w:rPr>
      </w:pPr>
      <w:r w:rsidRPr="000A256A">
        <w:rPr>
          <w:noProof/>
          <w:highlight w:val="white"/>
        </w:rPr>
        <w:t xml:space="preserve">Institut de Droit International, </w:t>
      </w:r>
      <w:r w:rsidRPr="000A256A">
        <w:rPr>
          <w:i/>
          <w:noProof/>
          <w:highlight w:val="white"/>
        </w:rPr>
        <w:t>Obligation Erga Omnes in International Law</w:t>
      </w:r>
      <w:r w:rsidRPr="000A256A">
        <w:rPr>
          <w:noProof/>
          <w:highlight w:val="white"/>
        </w:rPr>
        <w:t xml:space="preserve"> (Fifth Commission, 2005)</w:t>
      </w:r>
      <w:r>
        <w:rPr>
          <w:noProof/>
        </w:rPr>
        <w:tab/>
        <w:t>5</w:t>
      </w:r>
    </w:p>
    <w:p w14:paraId="73F11AAE" w14:textId="77777777" w:rsidR="00AE7683" w:rsidRDefault="00AE7683" w:rsidP="00015CF2">
      <w:pPr>
        <w:pStyle w:val="Textoconsangra"/>
        <w:tabs>
          <w:tab w:val="right" w:leader="dot" w:pos="9240"/>
        </w:tabs>
        <w:rPr>
          <w:noProof/>
        </w:rPr>
      </w:pPr>
      <w:r w:rsidRPr="000A256A">
        <w:rPr>
          <w:noProof/>
          <w:highlight w:val="white"/>
        </w:rPr>
        <w:t xml:space="preserve">International Commission of Jurists, </w:t>
      </w:r>
      <w:r w:rsidRPr="000A256A">
        <w:rPr>
          <w:i/>
          <w:noProof/>
          <w:highlight w:val="white"/>
        </w:rPr>
        <w:t>Dictating the Internet: Curtailing Free Expression and Information Online in Thailand</w:t>
      </w:r>
      <w:r w:rsidRPr="000A256A">
        <w:rPr>
          <w:noProof/>
          <w:highlight w:val="white"/>
        </w:rPr>
        <w:t xml:space="preserve"> (5 April 2021)</w:t>
      </w:r>
      <w:r>
        <w:rPr>
          <w:noProof/>
        </w:rPr>
        <w:tab/>
        <w:t>10</w:t>
      </w:r>
    </w:p>
    <w:p w14:paraId="039969FE" w14:textId="77777777" w:rsidR="00AE7683" w:rsidRDefault="00AE7683" w:rsidP="00015CF2">
      <w:pPr>
        <w:pStyle w:val="Textoconsangra"/>
        <w:tabs>
          <w:tab w:val="right" w:leader="dot" w:pos="9240"/>
        </w:tabs>
        <w:rPr>
          <w:noProof/>
        </w:rPr>
      </w:pPr>
      <w:r w:rsidRPr="000A256A">
        <w:rPr>
          <w:noProof/>
          <w:highlight w:val="white"/>
        </w:rPr>
        <w:t>International Commission of Jurists,</w:t>
      </w:r>
      <w:r w:rsidRPr="000A256A">
        <w:rPr>
          <w:i/>
          <w:noProof/>
          <w:highlight w:val="white"/>
        </w:rPr>
        <w:t xml:space="preserve"> Siracusa Principles on the Limitation and Derogation of Provisions in the ICCPR</w:t>
      </w:r>
      <w:r w:rsidRPr="000A256A">
        <w:rPr>
          <w:noProof/>
          <w:highlight w:val="white"/>
        </w:rPr>
        <w:t xml:space="preserve"> (April 1985) E/CN.4/1985/4</w:t>
      </w:r>
      <w:r>
        <w:rPr>
          <w:noProof/>
        </w:rPr>
        <w:tab/>
        <w:t>16, 17</w:t>
      </w:r>
    </w:p>
    <w:p w14:paraId="2F83F497" w14:textId="77777777" w:rsidR="00AE7683" w:rsidRDefault="00AE7683" w:rsidP="00015CF2">
      <w:pPr>
        <w:pStyle w:val="Textoconsangra"/>
        <w:tabs>
          <w:tab w:val="right" w:leader="dot" w:pos="9240"/>
        </w:tabs>
        <w:rPr>
          <w:noProof/>
        </w:rPr>
      </w:pPr>
      <w:r>
        <w:rPr>
          <w:noProof/>
        </w:rPr>
        <w:t xml:space="preserve">ISI, ‘Commentary To The Principles On Deprivation Of Nationality As A National Security Measure’ </w:t>
      </w:r>
      <w:r w:rsidRPr="000A256A">
        <w:rPr>
          <w:noProof/>
          <w:highlight w:val="white"/>
        </w:rPr>
        <w:t>(2022)</w:t>
      </w:r>
      <w:r>
        <w:rPr>
          <w:noProof/>
        </w:rPr>
        <w:tab/>
        <w:t>12</w:t>
      </w:r>
    </w:p>
    <w:p w14:paraId="744B0AFC" w14:textId="77777777" w:rsidR="00AE7683" w:rsidRDefault="00AE7683" w:rsidP="00015CF2">
      <w:pPr>
        <w:pStyle w:val="Textoconsangra"/>
        <w:tabs>
          <w:tab w:val="right" w:leader="dot" w:pos="9240"/>
        </w:tabs>
        <w:rPr>
          <w:noProof/>
        </w:rPr>
      </w:pPr>
      <w:r w:rsidRPr="000A256A">
        <w:rPr>
          <w:noProof/>
          <w:highlight w:val="white"/>
        </w:rPr>
        <w:t>Koskenniemi, M. ‘Fragmentation of international law: difficulties arising from the diversification and expansion of international law: report of the Study Group of the International Law Commission’ (13 April 2006) UN Doc A/CN.4/L.682</w:t>
      </w:r>
      <w:r>
        <w:rPr>
          <w:noProof/>
        </w:rPr>
        <w:tab/>
        <w:t>6</w:t>
      </w:r>
    </w:p>
    <w:p w14:paraId="7DF16658" w14:textId="77777777" w:rsidR="00AE7683" w:rsidRDefault="00AE7683" w:rsidP="00015CF2">
      <w:pPr>
        <w:pStyle w:val="Textoconsangra"/>
        <w:tabs>
          <w:tab w:val="right" w:leader="dot" w:pos="9240"/>
        </w:tabs>
        <w:rPr>
          <w:noProof/>
        </w:rPr>
      </w:pPr>
      <w:r>
        <w:rPr>
          <w:noProof/>
        </w:rPr>
        <w:t>League of Arab States, ‘Arab Declaration on Belonging and Legal Identity’ (28 February 2018)</w:t>
      </w:r>
      <w:r>
        <w:rPr>
          <w:noProof/>
        </w:rPr>
        <w:lastRenderedPageBreak/>
        <w:tab/>
        <w:t>7</w:t>
      </w:r>
    </w:p>
    <w:p w14:paraId="30F04777" w14:textId="77777777" w:rsidR="00AE7683" w:rsidRDefault="00AE7683" w:rsidP="00015CF2">
      <w:pPr>
        <w:pStyle w:val="Textoconsangra"/>
        <w:tabs>
          <w:tab w:val="right" w:leader="dot" w:pos="9240"/>
        </w:tabs>
        <w:rPr>
          <w:noProof/>
        </w:rPr>
      </w:pPr>
      <w:r w:rsidRPr="000A256A">
        <w:rPr>
          <w:noProof/>
          <w:highlight w:val="white"/>
        </w:rPr>
        <w:t>OAS, ‘Prevention and Reduction of statelessness and Protection of stateless Persons in the Americas’ (4 June 2014) AG/RES. 2826 (XLIV-O/14)</w:t>
      </w:r>
      <w:r>
        <w:rPr>
          <w:noProof/>
        </w:rPr>
        <w:tab/>
        <w:t>7</w:t>
      </w:r>
    </w:p>
    <w:p w14:paraId="0CF25FB3" w14:textId="77777777" w:rsidR="00AE7683" w:rsidRDefault="00AE7683" w:rsidP="00015CF2">
      <w:pPr>
        <w:pStyle w:val="Textoconsangra"/>
        <w:tabs>
          <w:tab w:val="right" w:leader="dot" w:pos="9240"/>
        </w:tabs>
        <w:rPr>
          <w:noProof/>
        </w:rPr>
      </w:pPr>
      <w:r w:rsidRPr="000A256A">
        <w:rPr>
          <w:i/>
          <w:noProof/>
        </w:rPr>
        <w:t>Obligations concerning Negotiations relating to Cessation of the Nuclear Arms Race and to Nuclear Disarmament</w:t>
      </w:r>
      <w:r w:rsidRPr="000A256A">
        <w:rPr>
          <w:noProof/>
          <w:color w:val="333333"/>
        </w:rPr>
        <w:t xml:space="preserve"> </w:t>
      </w:r>
      <w:r>
        <w:rPr>
          <w:noProof/>
        </w:rPr>
        <w:t>(Marshall Islands v India) (Memorial of the Marshall Islands) [2015]</w:t>
      </w:r>
      <w:r>
        <w:rPr>
          <w:noProof/>
        </w:rPr>
        <w:tab/>
        <w:t>6</w:t>
      </w:r>
    </w:p>
    <w:p w14:paraId="494E03BC" w14:textId="77777777" w:rsidR="00AE7683" w:rsidRDefault="00AE7683" w:rsidP="00015CF2">
      <w:pPr>
        <w:pStyle w:val="Textoconsangra"/>
        <w:tabs>
          <w:tab w:val="right" w:leader="dot" w:pos="9240"/>
        </w:tabs>
        <w:rPr>
          <w:noProof/>
        </w:rPr>
      </w:pPr>
      <w:r w:rsidRPr="000A256A">
        <w:rPr>
          <w:i/>
          <w:noProof/>
        </w:rPr>
        <w:t xml:space="preserve">Proceedings instituted by South Africa against the State of Israel </w:t>
      </w:r>
      <w:r>
        <w:rPr>
          <w:noProof/>
        </w:rPr>
        <w:t>(South Africa v Israel) [2023]</w:t>
      </w:r>
      <w:r>
        <w:rPr>
          <w:noProof/>
        </w:rPr>
        <w:tab/>
        <w:t>6</w:t>
      </w:r>
    </w:p>
    <w:p w14:paraId="50F2157E" w14:textId="77777777" w:rsidR="00AE7683" w:rsidRDefault="00AE7683" w:rsidP="00015CF2">
      <w:pPr>
        <w:pStyle w:val="Textoconsangra"/>
        <w:tabs>
          <w:tab w:val="right" w:leader="dot" w:pos="9240"/>
        </w:tabs>
        <w:rPr>
          <w:noProof/>
        </w:rPr>
      </w:pPr>
      <w:r>
        <w:rPr>
          <w:noProof/>
        </w:rPr>
        <w:t>Regional African Agreement ‘Consolidated Action Plan of ICGLR on the eradication of statelessness in the Great Lakes (2017-2024)’ (January 2020)</w:t>
      </w:r>
      <w:r>
        <w:rPr>
          <w:noProof/>
        </w:rPr>
        <w:tab/>
        <w:t>7</w:t>
      </w:r>
    </w:p>
    <w:p w14:paraId="722F6693" w14:textId="77777777" w:rsidR="00AE7683" w:rsidRDefault="00AE7683" w:rsidP="00015CF2">
      <w:pPr>
        <w:pStyle w:val="Textoconsangra"/>
        <w:tabs>
          <w:tab w:val="right" w:leader="dot" w:pos="9240"/>
        </w:tabs>
        <w:rPr>
          <w:noProof/>
        </w:rPr>
      </w:pPr>
      <w:r>
        <w:rPr>
          <w:noProof/>
        </w:rPr>
        <w:t>The American Heritage Dictionary of the English Language, (Call upon, 2022), &lt;https://www.ahdictionary.com/word/search.html?q=call&gt; accessed 11 January 2024</w:t>
      </w:r>
      <w:r>
        <w:rPr>
          <w:noProof/>
        </w:rPr>
        <w:tab/>
        <w:t>35</w:t>
      </w:r>
    </w:p>
    <w:p w14:paraId="576169C0" w14:textId="1F7F1382" w:rsidR="000B5DB7" w:rsidRDefault="00AE7683" w:rsidP="00015CF2">
      <w:pPr>
        <w:pStyle w:val="Encabezadodelista"/>
        <w:tabs>
          <w:tab w:val="right" w:leader="dot" w:pos="9240"/>
        </w:tabs>
        <w:rPr>
          <w:rFonts w:asciiTheme="minorHAnsi" w:eastAsiaTheme="minorEastAsia" w:hAnsiTheme="minorHAnsi" w:cstheme="minorBidi"/>
          <w:b w:val="0"/>
          <w:bCs w:val="0"/>
          <w:noProof/>
          <w:sz w:val="22"/>
          <w:szCs w:val="22"/>
        </w:rPr>
      </w:pPr>
      <w:r>
        <w:fldChar w:fldCharType="end"/>
      </w:r>
      <w:r w:rsidR="000B5DB7">
        <w:fldChar w:fldCharType="begin"/>
      </w:r>
      <w:r w:rsidR="000B5DB7">
        <w:instrText xml:space="preserve"> TOA \h \c "8" </w:instrText>
      </w:r>
      <w:r w:rsidR="000B5DB7">
        <w:fldChar w:fldCharType="separate"/>
      </w:r>
      <w:r w:rsidR="000B5DB7">
        <w:rPr>
          <w:noProof/>
        </w:rPr>
        <w:t>DOMESTIC LEGISLATION</w:t>
      </w:r>
    </w:p>
    <w:p w14:paraId="4F22DBF7" w14:textId="77777777" w:rsidR="000B5DB7" w:rsidRDefault="000B5DB7" w:rsidP="00015CF2">
      <w:pPr>
        <w:pStyle w:val="Textoconsangra"/>
        <w:tabs>
          <w:tab w:val="right" w:leader="dot" w:pos="9240"/>
        </w:tabs>
        <w:rPr>
          <w:noProof/>
        </w:rPr>
      </w:pPr>
      <w:r>
        <w:rPr>
          <w:noProof/>
        </w:rPr>
        <w:t>Thai Criminal Code B.E. 2499 (01 January 2003) (Thailand)</w:t>
      </w:r>
      <w:r>
        <w:rPr>
          <w:noProof/>
        </w:rPr>
        <w:tab/>
        <w:t>10</w:t>
      </w:r>
    </w:p>
    <w:p w14:paraId="377F932F" w14:textId="6EC62AB1" w:rsidR="00AE7683" w:rsidRDefault="000B5DB7" w:rsidP="00015CF2">
      <w:pPr>
        <w:pStyle w:val="Encabezadodelista"/>
        <w:tabs>
          <w:tab w:val="right" w:leader="dot" w:pos="9240"/>
        </w:tabs>
      </w:pPr>
      <w:r>
        <w:fldChar w:fldCharType="end"/>
      </w:r>
      <w:r w:rsidR="00AE7683">
        <w:t xml:space="preserve"> </w:t>
      </w:r>
    </w:p>
    <w:p w14:paraId="2CA1EE44" w14:textId="4CE8BD34" w:rsidR="005357B6" w:rsidRDefault="005357B6" w:rsidP="00157916">
      <w:pPr>
        <w:pStyle w:val="Encabezadodelista"/>
        <w:tabs>
          <w:tab w:val="right" w:leader="dot" w:pos="9240"/>
        </w:tabs>
      </w:pPr>
    </w:p>
    <w:p w14:paraId="07B3A7B9" w14:textId="77777777" w:rsidR="005357B6" w:rsidRDefault="005357B6" w:rsidP="005357B6"/>
    <w:p w14:paraId="41CF93E2" w14:textId="77777777" w:rsidR="005357B6" w:rsidRDefault="005357B6" w:rsidP="005357B6"/>
    <w:p w14:paraId="014DE6D1" w14:textId="77777777" w:rsidR="005357B6" w:rsidRDefault="005357B6" w:rsidP="005357B6"/>
    <w:p w14:paraId="237F82BC" w14:textId="77777777" w:rsidR="005357B6" w:rsidRDefault="005357B6" w:rsidP="005357B6"/>
    <w:p w14:paraId="0C9A46FE" w14:textId="77777777" w:rsidR="005357B6" w:rsidRDefault="005357B6" w:rsidP="005357B6"/>
    <w:p w14:paraId="0D8BBFB2" w14:textId="77777777" w:rsidR="005357B6" w:rsidRDefault="005357B6" w:rsidP="005357B6"/>
    <w:p w14:paraId="231F2DF0" w14:textId="77777777" w:rsidR="005357B6" w:rsidRDefault="005357B6" w:rsidP="005357B6"/>
    <w:p w14:paraId="62FF3D2F" w14:textId="77777777" w:rsidR="005357B6" w:rsidRDefault="005357B6" w:rsidP="005357B6"/>
    <w:p w14:paraId="13021810" w14:textId="77777777" w:rsidR="005357B6" w:rsidRDefault="005357B6" w:rsidP="005357B6"/>
    <w:p w14:paraId="0D8FD698" w14:textId="77777777" w:rsidR="005357B6" w:rsidRPr="005357B6" w:rsidRDefault="005357B6" w:rsidP="005357B6"/>
    <w:p w14:paraId="503E61E6" w14:textId="77777777" w:rsidR="00073873" w:rsidRPr="00073873" w:rsidRDefault="00073873" w:rsidP="00073873"/>
    <w:p w14:paraId="3B33A06D" w14:textId="77777777" w:rsidR="005357B6" w:rsidRDefault="005357B6">
      <w:pPr>
        <w:rPr>
          <w:b/>
          <w:sz w:val="24"/>
          <w:szCs w:val="24"/>
          <w:u w:val="single"/>
        </w:rPr>
      </w:pPr>
      <w:r>
        <w:rPr>
          <w:u w:val="single"/>
        </w:rPr>
        <w:br w:type="page"/>
      </w:r>
    </w:p>
    <w:p w14:paraId="4C564460" w14:textId="622832D9" w:rsidR="008C2177" w:rsidRPr="000D480A" w:rsidRDefault="00000000" w:rsidP="00015CF2">
      <w:pPr>
        <w:pStyle w:val="Ttulo1"/>
        <w:spacing w:before="66" w:after="240" w:line="480" w:lineRule="auto"/>
        <w:ind w:left="2735" w:right="2753"/>
      </w:pPr>
      <w:bookmarkStart w:id="1" w:name="_Toc155961545"/>
      <w:r>
        <w:rPr>
          <w:u w:val="single"/>
        </w:rPr>
        <w:lastRenderedPageBreak/>
        <w:t>STATEMENT OF JURISDICTION</w:t>
      </w:r>
      <w:bookmarkEnd w:id="1"/>
    </w:p>
    <w:p w14:paraId="2489EEFE" w14:textId="31DFFBDB" w:rsidR="008C2177" w:rsidRDefault="00000000" w:rsidP="00015CF2">
      <w:pPr>
        <w:spacing w:after="240" w:line="480" w:lineRule="auto"/>
        <w:jc w:val="both"/>
        <w:rPr>
          <w:sz w:val="24"/>
          <w:szCs w:val="24"/>
        </w:rPr>
      </w:pPr>
      <w:r>
        <w:rPr>
          <w:sz w:val="24"/>
          <w:szCs w:val="24"/>
        </w:rPr>
        <w:t>The Republic of Antrano (‘Antrano’) and the Kingdom of Remisia (‘Remisia’) have agreed to submit their dispute concerning the Sterren Forty to the International Court of Justice (‘ICJ’) pursuant to Article 40(1) of the Statute of the ICJ and the Special Agreement signed in The Hague, The Netherlands on 1</w:t>
      </w:r>
      <w:r w:rsidR="00C250BE">
        <w:rPr>
          <w:sz w:val="24"/>
          <w:szCs w:val="24"/>
        </w:rPr>
        <w:t>4</w:t>
      </w:r>
      <w:r>
        <w:rPr>
          <w:sz w:val="24"/>
          <w:szCs w:val="24"/>
        </w:rPr>
        <w:t xml:space="preserve"> September 2023. The Parties have jointly notified the Court </w:t>
      </w:r>
      <w:r w:rsidR="00C250BE">
        <w:rPr>
          <w:sz w:val="24"/>
          <w:szCs w:val="24"/>
        </w:rPr>
        <w:t xml:space="preserve">on </w:t>
      </w:r>
      <w:r>
        <w:rPr>
          <w:sz w:val="24"/>
          <w:szCs w:val="24"/>
        </w:rPr>
        <w:t xml:space="preserve">the </w:t>
      </w:r>
      <w:r w:rsidR="00C250BE">
        <w:rPr>
          <w:sz w:val="24"/>
          <w:szCs w:val="24"/>
        </w:rPr>
        <w:t>next</w:t>
      </w:r>
      <w:r>
        <w:rPr>
          <w:sz w:val="24"/>
          <w:szCs w:val="24"/>
        </w:rPr>
        <w:t xml:space="preserve"> da</w:t>
      </w:r>
      <w:r w:rsidR="00C250BE">
        <w:rPr>
          <w:sz w:val="24"/>
          <w:szCs w:val="24"/>
        </w:rPr>
        <w:t>y</w:t>
      </w:r>
      <w:r>
        <w:rPr>
          <w:sz w:val="24"/>
          <w:szCs w:val="24"/>
        </w:rPr>
        <w:t xml:space="preserve">. </w:t>
      </w:r>
    </w:p>
    <w:p w14:paraId="28D9F9FE" w14:textId="0AF6F72F" w:rsidR="008C2177" w:rsidRDefault="00000000" w:rsidP="00015CF2">
      <w:pPr>
        <w:spacing w:after="240" w:line="480" w:lineRule="auto"/>
        <w:jc w:val="both"/>
        <w:rPr>
          <w:sz w:val="24"/>
          <w:szCs w:val="24"/>
        </w:rPr>
      </w:pPr>
      <w:r>
        <w:rPr>
          <w:sz w:val="24"/>
          <w:szCs w:val="24"/>
        </w:rPr>
        <w:t>In accordance with Article 36 of the Statute of the ICJ and Article 3 of the Special Agreement, the ICJ has jurisdiction to adjudicate all matters submitted to it and both Parties undertake to consider the judgment as final and binding and execute it in good faith</w:t>
      </w:r>
      <w:r w:rsidR="003636F7">
        <w:rPr>
          <w:sz w:val="24"/>
          <w:szCs w:val="24"/>
        </w:rPr>
        <w:t>.</w:t>
      </w:r>
    </w:p>
    <w:p w14:paraId="45E351C4" w14:textId="77777777" w:rsidR="003636F7" w:rsidRDefault="003636F7" w:rsidP="00015CF2">
      <w:pPr>
        <w:spacing w:line="480" w:lineRule="auto"/>
        <w:jc w:val="both"/>
        <w:rPr>
          <w:sz w:val="24"/>
          <w:szCs w:val="24"/>
        </w:rPr>
      </w:pPr>
    </w:p>
    <w:p w14:paraId="5ECF696B" w14:textId="77777777" w:rsidR="003636F7" w:rsidRDefault="003636F7" w:rsidP="00015CF2">
      <w:pPr>
        <w:spacing w:line="480" w:lineRule="auto"/>
        <w:jc w:val="both"/>
        <w:rPr>
          <w:sz w:val="24"/>
          <w:szCs w:val="24"/>
        </w:rPr>
      </w:pPr>
    </w:p>
    <w:p w14:paraId="2728FBF0" w14:textId="77777777" w:rsidR="003636F7" w:rsidRDefault="003636F7" w:rsidP="00015CF2">
      <w:pPr>
        <w:spacing w:line="480" w:lineRule="auto"/>
        <w:jc w:val="both"/>
        <w:rPr>
          <w:sz w:val="24"/>
          <w:szCs w:val="24"/>
        </w:rPr>
      </w:pPr>
    </w:p>
    <w:p w14:paraId="70987589" w14:textId="23E1FB7D" w:rsidR="003636F7" w:rsidRDefault="00CD482E" w:rsidP="00015CF2">
      <w:pPr>
        <w:spacing w:line="480" w:lineRule="auto"/>
        <w:rPr>
          <w:sz w:val="24"/>
          <w:szCs w:val="24"/>
        </w:rPr>
      </w:pPr>
      <w:r>
        <w:rPr>
          <w:sz w:val="24"/>
          <w:szCs w:val="24"/>
        </w:rPr>
        <w:br w:type="page"/>
      </w:r>
    </w:p>
    <w:p w14:paraId="7FE7B282" w14:textId="22914313" w:rsidR="008C2177" w:rsidRPr="00C250BE" w:rsidRDefault="00000000" w:rsidP="00015CF2">
      <w:pPr>
        <w:pStyle w:val="Ttulo1"/>
        <w:spacing w:before="240" w:after="240" w:line="480" w:lineRule="auto"/>
        <w:ind w:left="2694" w:right="2528"/>
      </w:pPr>
      <w:bookmarkStart w:id="2" w:name="_Toc155961546"/>
      <w:r>
        <w:rPr>
          <w:u w:val="single"/>
        </w:rPr>
        <w:lastRenderedPageBreak/>
        <w:t>QUESTIONS PRESENTED</w:t>
      </w:r>
      <w:bookmarkEnd w:id="2"/>
    </w:p>
    <w:p w14:paraId="10082F94" w14:textId="78CDD85F" w:rsidR="008C2177" w:rsidRDefault="00000000" w:rsidP="00015CF2">
      <w:pPr>
        <w:spacing w:before="240" w:after="240" w:line="480" w:lineRule="auto"/>
        <w:ind w:left="100"/>
        <w:jc w:val="both"/>
        <w:rPr>
          <w:i/>
          <w:sz w:val="24"/>
          <w:szCs w:val="24"/>
        </w:rPr>
      </w:pPr>
      <w:r>
        <w:rPr>
          <w:i/>
          <w:sz w:val="24"/>
          <w:szCs w:val="24"/>
        </w:rPr>
        <w:t>The Republic of Antrano respectfully requests the Court to adjudge:</w:t>
      </w:r>
    </w:p>
    <w:p w14:paraId="56A3BC0E" w14:textId="39C6EE51" w:rsidR="008C2177" w:rsidRPr="00C250BE" w:rsidRDefault="00000000" w:rsidP="00015CF2">
      <w:pPr>
        <w:spacing w:before="240" w:after="240" w:line="480" w:lineRule="auto"/>
        <w:jc w:val="center"/>
        <w:rPr>
          <w:b/>
          <w:bCs/>
          <w:sz w:val="24"/>
          <w:szCs w:val="24"/>
        </w:rPr>
      </w:pPr>
      <w:r w:rsidRPr="000D480A">
        <w:rPr>
          <w:b/>
          <w:bCs/>
          <w:sz w:val="24"/>
          <w:szCs w:val="24"/>
        </w:rPr>
        <w:t>I</w:t>
      </w:r>
    </w:p>
    <w:p w14:paraId="353772AB" w14:textId="783E89AE" w:rsidR="00C250BE" w:rsidRDefault="00000000" w:rsidP="00015CF2">
      <w:pPr>
        <w:pBdr>
          <w:top w:val="nil"/>
          <w:left w:val="nil"/>
          <w:bottom w:val="nil"/>
          <w:right w:val="nil"/>
          <w:between w:val="nil"/>
        </w:pBdr>
        <w:spacing w:before="240" w:after="240" w:line="480" w:lineRule="auto"/>
        <w:ind w:left="100" w:right="117"/>
        <w:jc w:val="both"/>
        <w:rPr>
          <w:color w:val="000000"/>
          <w:sz w:val="24"/>
          <w:szCs w:val="24"/>
        </w:rPr>
      </w:pPr>
      <w:r>
        <w:rPr>
          <w:i/>
          <w:color w:val="000000"/>
          <w:sz w:val="24"/>
          <w:szCs w:val="24"/>
        </w:rPr>
        <w:t xml:space="preserve">Whether </w:t>
      </w:r>
      <w:r>
        <w:rPr>
          <w:color w:val="000000"/>
          <w:sz w:val="24"/>
          <w:szCs w:val="24"/>
        </w:rPr>
        <w:t>Antrano has standing to bring the dispute concerning Remisia’s deprivation of nationality of its citizens before the Court</w:t>
      </w:r>
      <w:r w:rsidR="00C250BE">
        <w:rPr>
          <w:color w:val="000000"/>
          <w:sz w:val="24"/>
          <w:szCs w:val="24"/>
        </w:rPr>
        <w:t>.</w:t>
      </w:r>
    </w:p>
    <w:p w14:paraId="1EF8F769" w14:textId="4D8ACBE9" w:rsidR="008C2177" w:rsidRPr="00C250BE" w:rsidRDefault="00000000" w:rsidP="00015CF2">
      <w:pPr>
        <w:spacing w:before="240" w:after="240" w:line="480" w:lineRule="auto"/>
        <w:jc w:val="center"/>
        <w:rPr>
          <w:b/>
          <w:bCs/>
          <w:sz w:val="24"/>
          <w:szCs w:val="24"/>
        </w:rPr>
      </w:pPr>
      <w:r w:rsidRPr="000D480A">
        <w:rPr>
          <w:b/>
          <w:bCs/>
          <w:sz w:val="24"/>
          <w:szCs w:val="24"/>
        </w:rPr>
        <w:t>II</w:t>
      </w:r>
    </w:p>
    <w:p w14:paraId="755BF6E2" w14:textId="1234DCB0" w:rsidR="00C250BE" w:rsidRDefault="00000000" w:rsidP="00015CF2">
      <w:pPr>
        <w:pBdr>
          <w:top w:val="nil"/>
          <w:left w:val="nil"/>
          <w:bottom w:val="nil"/>
          <w:right w:val="nil"/>
          <w:between w:val="nil"/>
        </w:pBdr>
        <w:spacing w:before="240" w:after="240" w:line="480" w:lineRule="auto"/>
        <w:ind w:left="100" w:right="122"/>
        <w:jc w:val="both"/>
        <w:rPr>
          <w:color w:val="000000"/>
          <w:sz w:val="24"/>
          <w:szCs w:val="24"/>
        </w:rPr>
      </w:pPr>
      <w:r>
        <w:rPr>
          <w:i/>
          <w:color w:val="000000"/>
          <w:sz w:val="24"/>
          <w:szCs w:val="24"/>
        </w:rPr>
        <w:t xml:space="preserve">Whether </w:t>
      </w:r>
      <w:r>
        <w:rPr>
          <w:color w:val="000000"/>
          <w:sz w:val="24"/>
          <w:szCs w:val="24"/>
        </w:rPr>
        <w:t xml:space="preserve">Remisia’s deprivation of nationality of the </w:t>
      </w:r>
      <w:r>
        <w:rPr>
          <w:sz w:val="24"/>
          <w:szCs w:val="24"/>
        </w:rPr>
        <w:t>‘</w:t>
      </w:r>
      <w:r>
        <w:rPr>
          <w:color w:val="000000"/>
          <w:sz w:val="24"/>
          <w:szCs w:val="24"/>
        </w:rPr>
        <w:t>Sterren Forty,</w:t>
      </w:r>
      <w:r>
        <w:rPr>
          <w:sz w:val="24"/>
          <w:szCs w:val="24"/>
        </w:rPr>
        <w:t>’</w:t>
      </w:r>
      <w:r>
        <w:rPr>
          <w:color w:val="000000"/>
          <w:sz w:val="24"/>
          <w:szCs w:val="24"/>
        </w:rPr>
        <w:t xml:space="preserve"> rendering them stateless, is a violation of international law.</w:t>
      </w:r>
    </w:p>
    <w:p w14:paraId="497EF62A" w14:textId="0A5E3297" w:rsidR="008C2177" w:rsidRPr="00C250BE" w:rsidRDefault="00000000" w:rsidP="00015CF2">
      <w:pPr>
        <w:spacing w:before="240" w:after="240" w:line="480" w:lineRule="auto"/>
        <w:jc w:val="center"/>
        <w:rPr>
          <w:b/>
          <w:bCs/>
          <w:sz w:val="24"/>
          <w:szCs w:val="24"/>
        </w:rPr>
      </w:pPr>
      <w:r w:rsidRPr="000D480A">
        <w:rPr>
          <w:b/>
          <w:bCs/>
          <w:sz w:val="24"/>
          <w:szCs w:val="24"/>
        </w:rPr>
        <w:t>II</w:t>
      </w:r>
      <w:r w:rsidR="00C250BE">
        <w:rPr>
          <w:b/>
          <w:bCs/>
          <w:sz w:val="24"/>
          <w:szCs w:val="24"/>
        </w:rPr>
        <w:t>I</w:t>
      </w:r>
    </w:p>
    <w:p w14:paraId="01056F32" w14:textId="110304D0" w:rsidR="00C250BE" w:rsidRPr="00C250BE" w:rsidRDefault="00000000" w:rsidP="00015CF2">
      <w:pPr>
        <w:pBdr>
          <w:top w:val="nil"/>
          <w:left w:val="nil"/>
          <w:bottom w:val="nil"/>
          <w:right w:val="nil"/>
          <w:between w:val="nil"/>
        </w:pBdr>
        <w:spacing w:before="240" w:after="240" w:line="480" w:lineRule="auto"/>
        <w:ind w:left="100" w:right="118"/>
        <w:jc w:val="both"/>
        <w:rPr>
          <w:color w:val="000000"/>
          <w:sz w:val="24"/>
          <w:szCs w:val="24"/>
        </w:rPr>
      </w:pPr>
      <w:r>
        <w:rPr>
          <w:i/>
          <w:color w:val="000000"/>
          <w:sz w:val="24"/>
          <w:szCs w:val="24"/>
        </w:rPr>
        <w:t>Whether</w:t>
      </w:r>
      <w:r>
        <w:rPr>
          <w:i/>
          <w:sz w:val="24"/>
          <w:szCs w:val="24"/>
        </w:rPr>
        <w:t xml:space="preserve"> </w:t>
      </w:r>
      <w:r>
        <w:rPr>
          <w:color w:val="000000"/>
          <w:sz w:val="24"/>
          <w:szCs w:val="24"/>
        </w:rPr>
        <w:t>Antrano violate</w:t>
      </w:r>
      <w:r w:rsidR="00C150AB">
        <w:rPr>
          <w:color w:val="000000"/>
          <w:sz w:val="24"/>
          <w:szCs w:val="24"/>
        </w:rPr>
        <w:t>d</w:t>
      </w:r>
      <w:r>
        <w:rPr>
          <w:color w:val="000000"/>
          <w:sz w:val="24"/>
          <w:szCs w:val="24"/>
        </w:rPr>
        <w:t xml:space="preserve"> international law when it refused to provide Remisia consular access to Ms. Saki Shaw during her time as a prisoner in Antrano.</w:t>
      </w:r>
    </w:p>
    <w:p w14:paraId="0B96C614" w14:textId="664F1643" w:rsidR="008C2177" w:rsidRPr="00C250BE" w:rsidRDefault="00000000" w:rsidP="00015CF2">
      <w:pPr>
        <w:spacing w:before="240" w:after="240" w:line="480" w:lineRule="auto"/>
        <w:jc w:val="center"/>
        <w:rPr>
          <w:b/>
          <w:bCs/>
          <w:sz w:val="24"/>
          <w:szCs w:val="24"/>
        </w:rPr>
      </w:pPr>
      <w:r w:rsidRPr="000D480A">
        <w:rPr>
          <w:b/>
          <w:bCs/>
          <w:sz w:val="24"/>
          <w:szCs w:val="24"/>
        </w:rPr>
        <w:t>IV</w:t>
      </w:r>
    </w:p>
    <w:p w14:paraId="79D20D89" w14:textId="36648BC6" w:rsidR="00C250BE" w:rsidRPr="00B02647" w:rsidRDefault="00000000" w:rsidP="00015CF2">
      <w:pPr>
        <w:pBdr>
          <w:top w:val="nil"/>
          <w:left w:val="nil"/>
          <w:bottom w:val="nil"/>
          <w:right w:val="nil"/>
          <w:between w:val="nil"/>
        </w:pBdr>
        <w:spacing w:before="240" w:after="240" w:line="480" w:lineRule="auto"/>
        <w:ind w:left="100" w:right="120"/>
        <w:jc w:val="both"/>
        <w:rPr>
          <w:color w:val="000000"/>
          <w:sz w:val="24"/>
          <w:szCs w:val="24"/>
        </w:rPr>
      </w:pPr>
      <w:r>
        <w:rPr>
          <w:i/>
          <w:color w:val="000000"/>
          <w:sz w:val="24"/>
          <w:szCs w:val="24"/>
        </w:rPr>
        <w:t xml:space="preserve">Whether </w:t>
      </w:r>
      <w:r>
        <w:rPr>
          <w:color w:val="000000"/>
          <w:sz w:val="24"/>
          <w:szCs w:val="24"/>
        </w:rPr>
        <w:t>Remisia violated international law by denying Antranan national Dr. Tulous Malex</w:t>
      </w:r>
      <w:r>
        <w:rPr>
          <w:sz w:val="24"/>
          <w:szCs w:val="24"/>
        </w:rPr>
        <w:t xml:space="preserve"> </w:t>
      </w:r>
      <w:r>
        <w:rPr>
          <w:color w:val="000000"/>
          <w:sz w:val="24"/>
          <w:szCs w:val="24"/>
        </w:rPr>
        <w:t xml:space="preserve">entry to Remisia as required by </w:t>
      </w:r>
      <w:r>
        <w:rPr>
          <w:sz w:val="24"/>
          <w:szCs w:val="24"/>
        </w:rPr>
        <w:t xml:space="preserve">the United Nations </w:t>
      </w:r>
      <w:r>
        <w:rPr>
          <w:color w:val="000000"/>
          <w:sz w:val="24"/>
          <w:szCs w:val="24"/>
        </w:rPr>
        <w:t xml:space="preserve">Security Council Resolution 99997. </w:t>
      </w:r>
      <w:bookmarkStart w:id="3" w:name="_heading=h.30j0zll" w:colFirst="0" w:colLast="0"/>
      <w:bookmarkEnd w:id="3"/>
    </w:p>
    <w:p w14:paraId="6DA00E99" w14:textId="77777777" w:rsidR="00B02647" w:rsidRDefault="00B02647" w:rsidP="00015CF2">
      <w:pPr>
        <w:spacing w:line="480" w:lineRule="auto"/>
        <w:rPr>
          <w:b/>
          <w:sz w:val="24"/>
          <w:szCs w:val="24"/>
          <w:u w:val="single"/>
        </w:rPr>
      </w:pPr>
      <w:r>
        <w:rPr>
          <w:u w:val="single"/>
        </w:rPr>
        <w:br w:type="page"/>
      </w:r>
    </w:p>
    <w:p w14:paraId="67E9A9EB" w14:textId="4A5302D2" w:rsidR="008C2177" w:rsidRPr="00F62BB5" w:rsidRDefault="00000000" w:rsidP="00015CF2">
      <w:pPr>
        <w:pStyle w:val="Ttulo1"/>
        <w:spacing w:before="240" w:after="240" w:line="480" w:lineRule="auto"/>
        <w:ind w:right="36"/>
      </w:pPr>
      <w:bookmarkStart w:id="4" w:name="_Toc155961547"/>
      <w:r w:rsidRPr="00F62BB5">
        <w:rPr>
          <w:u w:val="single"/>
        </w:rPr>
        <w:lastRenderedPageBreak/>
        <w:t>STATEMENT OF FACTS</w:t>
      </w:r>
      <w:bookmarkEnd w:id="4"/>
    </w:p>
    <w:p w14:paraId="0A288367" w14:textId="77777777" w:rsidR="008C2177" w:rsidRPr="00F62BB5" w:rsidRDefault="00000000" w:rsidP="00015CF2">
      <w:pPr>
        <w:spacing w:before="240" w:after="240" w:line="480" w:lineRule="auto"/>
        <w:jc w:val="both"/>
        <w:rPr>
          <w:b/>
          <w:sz w:val="24"/>
          <w:szCs w:val="24"/>
        </w:rPr>
      </w:pPr>
      <w:r w:rsidRPr="00F62BB5">
        <w:rPr>
          <w:b/>
          <w:sz w:val="24"/>
          <w:szCs w:val="24"/>
        </w:rPr>
        <w:t>BACKGROUND</w:t>
      </w:r>
    </w:p>
    <w:p w14:paraId="75E9AAAC" w14:textId="77777777" w:rsidR="00C250BE" w:rsidRPr="00C250BE" w:rsidRDefault="00C250BE" w:rsidP="00015CF2">
      <w:pPr>
        <w:widowControl/>
        <w:spacing w:before="240" w:after="240" w:line="480" w:lineRule="auto"/>
        <w:ind w:firstLine="720"/>
        <w:jc w:val="both"/>
        <w:rPr>
          <w:sz w:val="24"/>
          <w:szCs w:val="24"/>
        </w:rPr>
      </w:pPr>
      <w:r w:rsidRPr="00C250BE">
        <w:rPr>
          <w:color w:val="000000"/>
          <w:sz w:val="24"/>
          <w:szCs w:val="24"/>
        </w:rPr>
        <w:t>The Republic of Antrano is located in the Mahali Archipelago. Since its establishment in 1951, Antrano has demonstrated a keen interest in eliminating statelessness worldwide. Its first President, Muna Songida, was a vocal proponent of the Convention Relating to the Status of Stateless Persons (‘CSP’) and the Convention on the Reduction of Statelessness (‘CRS’). He also founded the Antrano Nationality Department in 1960. Antrano’s representatives regularly propose resolutions against statelessness in international forums.</w:t>
      </w:r>
    </w:p>
    <w:p w14:paraId="279C4E0C" w14:textId="0CACE7A6" w:rsidR="00C250BE" w:rsidRPr="00C250BE" w:rsidRDefault="00C250BE" w:rsidP="00015CF2">
      <w:pPr>
        <w:widowControl/>
        <w:spacing w:before="240" w:after="240" w:line="480" w:lineRule="auto"/>
        <w:ind w:firstLine="720"/>
        <w:jc w:val="both"/>
        <w:rPr>
          <w:sz w:val="24"/>
          <w:szCs w:val="24"/>
        </w:rPr>
      </w:pPr>
      <w:r w:rsidRPr="00C250BE">
        <w:rPr>
          <w:color w:val="000000"/>
          <w:sz w:val="24"/>
          <w:szCs w:val="24"/>
        </w:rPr>
        <w:t>The Kingdom of Remisia is a constitutional monarchy situated on the Isidre Plateau. Queen Khasat, as its current monarch, appoints the Prime Minister and the commander-in-chief of the armed forces. Disrespecting the Queen can result in the loss of the Remisian nationality by virtue of the Disrespect to the Crown Act (‘DCA’). </w:t>
      </w:r>
    </w:p>
    <w:p w14:paraId="326AE918" w14:textId="77777777" w:rsidR="00C250BE" w:rsidRPr="00C250BE" w:rsidRDefault="00C250BE" w:rsidP="00015CF2">
      <w:pPr>
        <w:widowControl/>
        <w:spacing w:before="240" w:after="240" w:line="480" w:lineRule="auto"/>
        <w:jc w:val="both"/>
        <w:rPr>
          <w:sz w:val="24"/>
          <w:szCs w:val="24"/>
        </w:rPr>
      </w:pPr>
      <w:r w:rsidRPr="00C250BE">
        <w:rPr>
          <w:b/>
          <w:bCs/>
          <w:color w:val="000000"/>
          <w:sz w:val="24"/>
          <w:szCs w:val="24"/>
        </w:rPr>
        <w:t>HAZARDOUS COBALT MINING IN REMISIA</w:t>
      </w:r>
    </w:p>
    <w:p w14:paraId="4A7D032D" w14:textId="77777777" w:rsidR="00C250BE" w:rsidRPr="00C250BE" w:rsidRDefault="00C250BE" w:rsidP="00015CF2">
      <w:pPr>
        <w:widowControl/>
        <w:spacing w:before="240" w:after="240" w:line="480" w:lineRule="auto"/>
        <w:ind w:firstLine="720"/>
        <w:jc w:val="both"/>
        <w:rPr>
          <w:sz w:val="24"/>
          <w:szCs w:val="24"/>
        </w:rPr>
      </w:pPr>
      <w:r w:rsidRPr="00C250BE">
        <w:rPr>
          <w:color w:val="000000"/>
          <w:sz w:val="24"/>
          <w:szCs w:val="24"/>
        </w:rPr>
        <w:t>In 1989, Remisia discovered cobalt deposits in its territory which it decided to limit extraction of, due to uncertainty regarding the potential impact on the atmosphere and waters. In 2016, Ms. Saki Shaw (‘Ms. Shaw’), a close friend of Queen Khasat, proposed a joint venture to exploit the cobalt mines through her company Lithos Limited, leading to the establishment of the Lithos-Remisia Cooperative (‘LRC’). </w:t>
      </w:r>
    </w:p>
    <w:p w14:paraId="60511CE4" w14:textId="5A1FAFEC" w:rsidR="00C250BE" w:rsidRPr="00C250BE" w:rsidRDefault="002B21E6" w:rsidP="00015CF2">
      <w:pPr>
        <w:widowControl/>
        <w:spacing w:before="240" w:after="240" w:line="480" w:lineRule="auto"/>
        <w:ind w:firstLine="720"/>
        <w:jc w:val="both"/>
        <w:rPr>
          <w:sz w:val="24"/>
          <w:szCs w:val="24"/>
        </w:rPr>
      </w:pPr>
      <w:r>
        <w:rPr>
          <w:color w:val="000000"/>
          <w:sz w:val="24"/>
          <w:szCs w:val="24"/>
        </w:rPr>
        <w:t>T</w:t>
      </w:r>
      <w:r w:rsidR="00C250BE" w:rsidRPr="00C250BE">
        <w:rPr>
          <w:color w:val="000000"/>
          <w:sz w:val="24"/>
          <w:szCs w:val="24"/>
        </w:rPr>
        <w:t xml:space="preserve">he LRC requested licenses from the Remisian Ministry of Mines to commence cobalt mining at three sites, which were approved in 2017. However, several Remisian students of the ‘Isidre League of Student Activists’ (‘ILSA’) initiated protests against the mines on the basis that cobalt mining generated a significant amount of dust and released metallic minerals into nearby rivers, adversely affecting the health of the population and their access to clean water. Despite </w:t>
      </w:r>
      <w:r w:rsidR="00C250BE" w:rsidRPr="00C250BE">
        <w:rPr>
          <w:color w:val="000000"/>
          <w:sz w:val="24"/>
          <w:szCs w:val="24"/>
        </w:rPr>
        <w:lastRenderedPageBreak/>
        <w:t>this, in January 2020, the Ministry of Mines allowed the opening of other four mine sites for the LRC.</w:t>
      </w:r>
    </w:p>
    <w:p w14:paraId="22CE323E" w14:textId="77777777" w:rsidR="00C250BE" w:rsidRPr="00C250BE" w:rsidRDefault="00C250BE" w:rsidP="00015CF2">
      <w:pPr>
        <w:widowControl/>
        <w:spacing w:before="240" w:after="240" w:line="480" w:lineRule="auto"/>
        <w:jc w:val="both"/>
        <w:rPr>
          <w:sz w:val="24"/>
          <w:szCs w:val="24"/>
        </w:rPr>
      </w:pPr>
      <w:r w:rsidRPr="00C250BE">
        <w:rPr>
          <w:b/>
          <w:bCs/>
          <w:color w:val="000000"/>
          <w:sz w:val="24"/>
          <w:szCs w:val="24"/>
        </w:rPr>
        <w:t>REMISIA’S DECISION TO RENDER THE STERREN FORTY STATELESS</w:t>
      </w:r>
    </w:p>
    <w:p w14:paraId="5B6A3F13" w14:textId="7FF69205" w:rsidR="00C250BE" w:rsidRPr="00C250BE" w:rsidRDefault="00C250BE" w:rsidP="00015CF2">
      <w:pPr>
        <w:widowControl/>
        <w:spacing w:before="240" w:after="240" w:line="480" w:lineRule="auto"/>
        <w:ind w:firstLine="720"/>
        <w:jc w:val="both"/>
        <w:rPr>
          <w:sz w:val="24"/>
          <w:szCs w:val="24"/>
        </w:rPr>
      </w:pPr>
      <w:r w:rsidRPr="00C250BE">
        <w:rPr>
          <w:color w:val="000000"/>
          <w:sz w:val="24"/>
          <w:szCs w:val="24"/>
        </w:rPr>
        <w:t>ILSA continued organizing protests all over Remisia, showing their disagreement against the decisions taken by Queen Khasat’s Government. Remisia’s Attorney</w:t>
      </w:r>
      <w:r w:rsidR="002B21E6">
        <w:rPr>
          <w:color w:val="000000"/>
          <w:sz w:val="24"/>
          <w:szCs w:val="24"/>
        </w:rPr>
        <w:t>-</w:t>
      </w:r>
      <w:r w:rsidRPr="00C250BE">
        <w:rPr>
          <w:color w:val="000000"/>
          <w:sz w:val="24"/>
          <w:szCs w:val="24"/>
        </w:rPr>
        <w:t>General announced that all those involved in the protests would be prosecuted under the DCA. On 27 February 2020, over 1,000 students were detained across Remisia. Forty protesters were arrested at the gates of Sterren Palace. They were dubbed ‘the Sterren Forty’ by the press. </w:t>
      </w:r>
    </w:p>
    <w:p w14:paraId="1602B1D8" w14:textId="3C9F28BB" w:rsidR="00C250BE" w:rsidRPr="00C250BE" w:rsidRDefault="00C250BE" w:rsidP="00015CF2">
      <w:pPr>
        <w:widowControl/>
        <w:spacing w:before="240" w:after="240" w:line="480" w:lineRule="auto"/>
        <w:ind w:firstLine="720"/>
        <w:jc w:val="both"/>
        <w:rPr>
          <w:sz w:val="24"/>
          <w:szCs w:val="24"/>
        </w:rPr>
      </w:pPr>
      <w:r w:rsidRPr="00C250BE">
        <w:rPr>
          <w:color w:val="000000"/>
          <w:sz w:val="24"/>
          <w:szCs w:val="24"/>
        </w:rPr>
        <w:t>Remisian authorities charged 230 students under the DCA. Of the convicted students, 190 were sentenced to imprisonment from one-to-three years. The remaining ‘Sterren Forty’ were given five-year prison sentences and ordered the deprivation of their nationality. All of the Sterren Forty appealed to the Supreme Court of Remisia. They argued that stripping their nationality would render them stateless, in violation of international law. The Supreme Court rejected their appeals.</w:t>
      </w:r>
    </w:p>
    <w:p w14:paraId="6446F772" w14:textId="603F88E5" w:rsidR="002B21E6" w:rsidRPr="00C250BE" w:rsidRDefault="00C250BE" w:rsidP="00015CF2">
      <w:pPr>
        <w:widowControl/>
        <w:spacing w:before="240" w:after="240" w:line="480" w:lineRule="auto"/>
        <w:ind w:firstLine="720"/>
        <w:jc w:val="both"/>
        <w:rPr>
          <w:color w:val="000000"/>
          <w:sz w:val="24"/>
          <w:szCs w:val="24"/>
        </w:rPr>
      </w:pPr>
      <w:r w:rsidRPr="00C250BE">
        <w:rPr>
          <w:color w:val="000000"/>
          <w:sz w:val="24"/>
          <w:szCs w:val="24"/>
        </w:rPr>
        <w:t>Antrano’s President offered to meet with the Remisian Prime Minister to negotiate alternatives for the Sterren Forty, but Remisia dismissed the proposal. Then, Antrano’s Secretary of Nationality Rights contacted Remisia’s Home Office to resolve their dispute concerning the application of the DCA. Remisia again rejected this request, prompting Antrano to escalate the dispute to the United Nations Security Council (‘UNSC’). </w:t>
      </w:r>
    </w:p>
    <w:p w14:paraId="7E50820C" w14:textId="77777777" w:rsidR="00C250BE" w:rsidRPr="00C250BE" w:rsidRDefault="00C250BE" w:rsidP="00015CF2">
      <w:pPr>
        <w:widowControl/>
        <w:spacing w:before="240" w:after="240" w:line="480" w:lineRule="auto"/>
        <w:jc w:val="both"/>
        <w:rPr>
          <w:sz w:val="24"/>
          <w:szCs w:val="24"/>
        </w:rPr>
      </w:pPr>
      <w:r w:rsidRPr="00C250BE">
        <w:rPr>
          <w:b/>
          <w:bCs/>
          <w:color w:val="000000"/>
          <w:sz w:val="24"/>
          <w:szCs w:val="24"/>
        </w:rPr>
        <w:t>MS. SHAW’S ARREST AND EXTRADITION PROCESS</w:t>
      </w:r>
    </w:p>
    <w:p w14:paraId="719A1459" w14:textId="50216A2C" w:rsidR="00C250BE" w:rsidRPr="00C250BE" w:rsidRDefault="00C250BE" w:rsidP="00015CF2">
      <w:pPr>
        <w:widowControl/>
        <w:spacing w:before="240" w:after="240" w:line="480" w:lineRule="auto"/>
        <w:ind w:firstLine="720"/>
        <w:jc w:val="both"/>
        <w:rPr>
          <w:sz w:val="24"/>
          <w:szCs w:val="24"/>
        </w:rPr>
      </w:pPr>
      <w:r w:rsidRPr="00C250BE">
        <w:rPr>
          <w:color w:val="000000"/>
          <w:sz w:val="24"/>
          <w:szCs w:val="24"/>
        </w:rPr>
        <w:t xml:space="preserve">Ms. Shaw was born in Molvania in 1970. Her grandmother, Pevara Shaw, founded the Shaw Corporation (‘ShawCorp’). Ms. Shaw is the head of Lithos Limited, a wholly owned subsidiary of ShawCorp, headquartered in Molvania. In April 2014, the Molvanian authorities </w:t>
      </w:r>
      <w:r w:rsidRPr="00C250BE">
        <w:rPr>
          <w:color w:val="000000"/>
          <w:sz w:val="24"/>
          <w:szCs w:val="24"/>
        </w:rPr>
        <w:lastRenderedPageBreak/>
        <w:t>ordered an inquiry into ShawCorp operations, including subpoenas on members of the Shaw family, after investigative reports alleged that the company and its principals had engaged in money laundering and tax evasion. However, Molvanian authorities have been unable to serve a subpoena on Ms. Shaw. Seven months after the subpoena was issued to Ms. Shaw, she applied to the Naturalization by Investment Act (‘NIA’), which allowed investors to acquire Remisian citizenship without residence. Although she had not visited Remisia since 2006, her request was approved in June 2016. In this regard, Antrano’s laws do not recognize purchased citizenship.</w:t>
      </w:r>
    </w:p>
    <w:p w14:paraId="3F0B87CD" w14:textId="3A2C13DA" w:rsidR="00C250BE" w:rsidRPr="00C250BE" w:rsidRDefault="00C250BE" w:rsidP="00015CF2">
      <w:pPr>
        <w:widowControl/>
        <w:spacing w:before="240" w:after="240" w:line="480" w:lineRule="auto"/>
        <w:ind w:firstLine="720"/>
        <w:jc w:val="both"/>
        <w:rPr>
          <w:sz w:val="24"/>
          <w:szCs w:val="24"/>
        </w:rPr>
      </w:pPr>
      <w:r w:rsidRPr="00C250BE">
        <w:rPr>
          <w:color w:val="000000"/>
          <w:sz w:val="24"/>
          <w:szCs w:val="24"/>
        </w:rPr>
        <w:t xml:space="preserve">In March 2022, </w:t>
      </w:r>
      <w:r w:rsidR="007F4365" w:rsidRPr="00C250BE">
        <w:rPr>
          <w:color w:val="000000"/>
          <w:sz w:val="24"/>
          <w:szCs w:val="24"/>
        </w:rPr>
        <w:t>Molvania</w:t>
      </w:r>
      <w:r w:rsidR="007F4365">
        <w:rPr>
          <w:color w:val="000000"/>
          <w:sz w:val="24"/>
          <w:szCs w:val="24"/>
        </w:rPr>
        <w:t>’s</w:t>
      </w:r>
      <w:r w:rsidR="007F4365" w:rsidRPr="00C250BE">
        <w:rPr>
          <w:color w:val="000000"/>
          <w:sz w:val="24"/>
          <w:szCs w:val="24"/>
        </w:rPr>
        <w:t xml:space="preserve"> </w:t>
      </w:r>
      <w:r w:rsidRPr="00C250BE">
        <w:rPr>
          <w:color w:val="000000"/>
          <w:sz w:val="24"/>
          <w:szCs w:val="24"/>
        </w:rPr>
        <w:t>Attorney-General replaced the 2014 subpoena on Ms. Shaw with an arrest warrant charging her with bank fraud, money laundering, and obstruction of justice. Since Molvania has an extradition treaty with Antrano, and the Molvanian authorities were aware she would travel to the Antranan capital, Molvania delivered a formal request for her extradition. As a result, she was detained and arrested by Antranan authorities in her hotel. </w:t>
      </w:r>
    </w:p>
    <w:p w14:paraId="2F7E7EA5" w14:textId="1CF341E4" w:rsidR="00C250BE" w:rsidRPr="00C250BE" w:rsidRDefault="00C250BE" w:rsidP="00015CF2">
      <w:pPr>
        <w:widowControl/>
        <w:spacing w:before="240" w:after="240" w:line="480" w:lineRule="auto"/>
        <w:ind w:firstLine="720"/>
        <w:jc w:val="both"/>
        <w:rPr>
          <w:sz w:val="24"/>
          <w:szCs w:val="24"/>
        </w:rPr>
      </w:pPr>
      <w:r w:rsidRPr="00C250BE">
        <w:rPr>
          <w:color w:val="000000"/>
          <w:sz w:val="24"/>
          <w:szCs w:val="24"/>
        </w:rPr>
        <w:t>Antrano informed Ms. Shaw about her rights under the Vienna Convention on Consular Relations (‘VCCR</w:t>
      </w:r>
      <w:r w:rsidR="000B5DB7">
        <w:rPr>
          <w:color w:val="000000"/>
          <w:sz w:val="24"/>
          <w:szCs w:val="24"/>
        </w:rPr>
        <w:fldChar w:fldCharType="begin"/>
      </w:r>
      <w:r w:rsidR="000B5DB7">
        <w:rPr>
          <w:color w:val="000000"/>
          <w:sz w:val="24"/>
          <w:szCs w:val="24"/>
        </w:rPr>
        <w:instrText xml:space="preserve"> TA \s "VCCR" </w:instrText>
      </w:r>
      <w:r w:rsidR="000B5DB7">
        <w:rPr>
          <w:color w:val="000000"/>
          <w:sz w:val="24"/>
          <w:szCs w:val="24"/>
        </w:rPr>
        <w:fldChar w:fldCharType="end"/>
      </w:r>
      <w:r w:rsidRPr="00C250BE">
        <w:rPr>
          <w:color w:val="000000"/>
          <w:sz w:val="24"/>
          <w:szCs w:val="24"/>
        </w:rPr>
        <w:t>’). She requested consular assistance from Remisia</w:t>
      </w:r>
      <w:r w:rsidR="007F4365">
        <w:rPr>
          <w:color w:val="000000"/>
          <w:sz w:val="24"/>
          <w:szCs w:val="24"/>
        </w:rPr>
        <w:t xml:space="preserve">, but </w:t>
      </w:r>
      <w:r w:rsidRPr="00C250BE">
        <w:rPr>
          <w:color w:val="000000"/>
          <w:sz w:val="24"/>
          <w:szCs w:val="24"/>
        </w:rPr>
        <w:t xml:space="preserve">Antrano denied her request, instead granting her access to the Molvanian consul. The Remisian consul had requested to meet her. In response, Antrano stated that it does not recognize purchased citizenship, such as between Ms. Shaw and Remisia, and </w:t>
      </w:r>
      <w:r w:rsidR="007F4365">
        <w:rPr>
          <w:color w:val="000000"/>
          <w:sz w:val="24"/>
          <w:szCs w:val="24"/>
        </w:rPr>
        <w:t>she</w:t>
      </w:r>
      <w:r w:rsidRPr="00C250BE">
        <w:rPr>
          <w:color w:val="000000"/>
          <w:sz w:val="24"/>
          <w:szCs w:val="24"/>
        </w:rPr>
        <w:t xml:space="preserve"> was aware of this. Signage at every Antranan port of entry informed travelers that purchased passports were not valid for entry. Unfortunately, two weeks later Ms. Shaw collapsed in jail and died of natural causes.</w:t>
      </w:r>
    </w:p>
    <w:p w14:paraId="22CD5F7A" w14:textId="77777777" w:rsidR="00C250BE" w:rsidRPr="00C250BE" w:rsidRDefault="00C250BE" w:rsidP="00015CF2">
      <w:pPr>
        <w:widowControl/>
        <w:spacing w:before="240" w:after="240" w:line="480" w:lineRule="auto"/>
        <w:jc w:val="both"/>
        <w:rPr>
          <w:sz w:val="24"/>
          <w:szCs w:val="24"/>
        </w:rPr>
      </w:pPr>
      <w:r w:rsidRPr="00C250BE">
        <w:rPr>
          <w:b/>
          <w:bCs/>
          <w:color w:val="000000"/>
          <w:sz w:val="24"/>
          <w:szCs w:val="24"/>
        </w:rPr>
        <w:t>REMISIA’S DENIAL OF ENTRY OF DR. MALEX AND NON-COMPLIANCE WITH UNSC RESOLUTION 99997</w:t>
      </w:r>
    </w:p>
    <w:p w14:paraId="3BD49580" w14:textId="1619A254" w:rsidR="00C250BE" w:rsidRPr="00C250BE" w:rsidRDefault="00C250BE" w:rsidP="00015CF2">
      <w:pPr>
        <w:widowControl/>
        <w:spacing w:before="240" w:after="240" w:line="480" w:lineRule="auto"/>
        <w:ind w:firstLine="720"/>
        <w:jc w:val="both"/>
        <w:rPr>
          <w:sz w:val="24"/>
          <w:szCs w:val="24"/>
        </w:rPr>
      </w:pPr>
      <w:r w:rsidRPr="00C250BE">
        <w:rPr>
          <w:color w:val="000000"/>
          <w:sz w:val="24"/>
          <w:szCs w:val="24"/>
        </w:rPr>
        <w:t xml:space="preserve">The UNSC unanimously adopted </w:t>
      </w:r>
      <w:r w:rsidR="007F4365">
        <w:rPr>
          <w:color w:val="000000"/>
          <w:sz w:val="24"/>
          <w:szCs w:val="24"/>
        </w:rPr>
        <w:t>R</w:t>
      </w:r>
      <w:r w:rsidRPr="00C250BE">
        <w:rPr>
          <w:color w:val="000000"/>
          <w:sz w:val="24"/>
          <w:szCs w:val="24"/>
        </w:rPr>
        <w:t xml:space="preserve">esolution 99997 on 11 April 2022, which created the United Nations Inspection Mission to Remisia (‘UNIMR’), aimed to investigate the situation of </w:t>
      </w:r>
      <w:r w:rsidRPr="00C250BE">
        <w:rPr>
          <w:color w:val="000000"/>
          <w:sz w:val="24"/>
          <w:szCs w:val="24"/>
        </w:rPr>
        <w:lastRenderedPageBreak/>
        <w:t>the Sterren Forty. In this resolution, the UNSC ‘</w:t>
      </w:r>
      <w:r w:rsidR="007F4365">
        <w:rPr>
          <w:i/>
          <w:iCs/>
          <w:color w:val="000000"/>
          <w:sz w:val="24"/>
          <w:szCs w:val="24"/>
        </w:rPr>
        <w:t>c</w:t>
      </w:r>
      <w:r w:rsidRPr="00C250BE">
        <w:rPr>
          <w:i/>
          <w:iCs/>
          <w:color w:val="000000"/>
          <w:sz w:val="24"/>
          <w:szCs w:val="24"/>
        </w:rPr>
        <w:t>alled upon</w:t>
      </w:r>
      <w:r w:rsidRPr="00C250BE">
        <w:rPr>
          <w:color w:val="000000"/>
          <w:sz w:val="24"/>
          <w:szCs w:val="24"/>
        </w:rPr>
        <w:t>’ Remisia to fully cooperate with the mission by providing access to all testimonial information and evidence that is deemed relevant to the Mission, including ‘in-person interviews.’ Antranan national Dr. Tulous Malex (‘Dr. Malex’) was appointed as the mission chief. </w:t>
      </w:r>
    </w:p>
    <w:p w14:paraId="65782298" w14:textId="77777777" w:rsidR="00C250BE" w:rsidRPr="00C250BE" w:rsidRDefault="00C250BE" w:rsidP="00015CF2">
      <w:pPr>
        <w:widowControl/>
        <w:spacing w:before="240" w:after="240" w:line="480" w:lineRule="auto"/>
        <w:ind w:firstLine="720"/>
        <w:jc w:val="both"/>
        <w:rPr>
          <w:sz w:val="24"/>
          <w:szCs w:val="24"/>
        </w:rPr>
      </w:pPr>
      <w:r w:rsidRPr="00C250BE">
        <w:rPr>
          <w:color w:val="000000"/>
          <w:sz w:val="24"/>
          <w:szCs w:val="24"/>
        </w:rPr>
        <w:t>On 14 July, Dr. Malex submitted a formal request to Remisia to meet and interview the Sterren Forty. The next day, Remisia’s UN Ambassador announced that Remisia would not permit Dr. Malex to enter without proper documentation. On August 3, Dr. Malex notified Remisia again of his arrival. He requested assurances of his entry based on his UN certificate, but Remisia stated that it would not grant an entry visa for the purposes of UNIMR.</w:t>
      </w:r>
    </w:p>
    <w:p w14:paraId="10A9E7FA" w14:textId="151EAB6D" w:rsidR="00BC53E8" w:rsidRPr="00C250BE" w:rsidRDefault="00C250BE" w:rsidP="00015CF2">
      <w:pPr>
        <w:widowControl/>
        <w:spacing w:before="240" w:after="240" w:line="480" w:lineRule="auto"/>
        <w:ind w:firstLine="720"/>
        <w:jc w:val="both"/>
        <w:rPr>
          <w:color w:val="000000"/>
          <w:sz w:val="24"/>
          <w:szCs w:val="24"/>
        </w:rPr>
      </w:pPr>
      <w:r w:rsidRPr="00C250BE">
        <w:rPr>
          <w:color w:val="000000"/>
          <w:sz w:val="24"/>
          <w:szCs w:val="24"/>
        </w:rPr>
        <w:t xml:space="preserve">The UNSC President affirmed that denying entry to the UNIMR chief would be a violation </w:t>
      </w:r>
      <w:r w:rsidR="007F4365">
        <w:rPr>
          <w:color w:val="000000"/>
          <w:sz w:val="24"/>
          <w:szCs w:val="24"/>
        </w:rPr>
        <w:t>under</w:t>
      </w:r>
      <w:r w:rsidRPr="00C250BE">
        <w:rPr>
          <w:color w:val="000000"/>
          <w:sz w:val="24"/>
          <w:szCs w:val="24"/>
        </w:rPr>
        <w:t xml:space="preserve"> the </w:t>
      </w:r>
      <w:r w:rsidR="007F4365" w:rsidRPr="00C250BE">
        <w:rPr>
          <w:color w:val="000000"/>
          <w:sz w:val="24"/>
          <w:szCs w:val="24"/>
        </w:rPr>
        <w:t>Charter</w:t>
      </w:r>
      <w:r w:rsidR="007F4365" w:rsidRPr="00C250BE">
        <w:rPr>
          <w:color w:val="000000"/>
          <w:sz w:val="24"/>
          <w:szCs w:val="24"/>
        </w:rPr>
        <w:t xml:space="preserve"> </w:t>
      </w:r>
      <w:r w:rsidR="007F4365">
        <w:rPr>
          <w:color w:val="000000"/>
          <w:sz w:val="24"/>
          <w:szCs w:val="24"/>
        </w:rPr>
        <w:t xml:space="preserve">of the </w:t>
      </w:r>
      <w:r w:rsidRPr="00C250BE">
        <w:rPr>
          <w:color w:val="000000"/>
          <w:sz w:val="24"/>
          <w:szCs w:val="24"/>
        </w:rPr>
        <w:t>United Nations (‘UN Charter</w:t>
      </w:r>
      <w:r w:rsidR="000B5DB7">
        <w:rPr>
          <w:color w:val="000000"/>
          <w:sz w:val="24"/>
          <w:szCs w:val="24"/>
        </w:rPr>
        <w:fldChar w:fldCharType="begin"/>
      </w:r>
      <w:r w:rsidR="000B5DB7">
        <w:rPr>
          <w:color w:val="000000"/>
          <w:sz w:val="24"/>
          <w:szCs w:val="24"/>
        </w:rPr>
        <w:instrText xml:space="preserve"> TA \s "UN Charter" </w:instrText>
      </w:r>
      <w:r w:rsidR="000B5DB7">
        <w:rPr>
          <w:color w:val="000000"/>
          <w:sz w:val="24"/>
          <w:szCs w:val="24"/>
        </w:rPr>
        <w:fldChar w:fldCharType="end"/>
      </w:r>
      <w:r w:rsidRPr="00C250BE">
        <w:rPr>
          <w:color w:val="000000"/>
          <w:sz w:val="24"/>
          <w:szCs w:val="24"/>
        </w:rPr>
        <w:t>’) obligations and of UNSC Resolution 99997. The UN Secretary-General also condemned Remisia’s refusal to recognize UNSC authority under Chapter VI of the UN Charter. Nevertheless, when Dr. Malex arrived in Remisia on 9 August, border agents denied him entry and placed him on the next plane back to New York.</w:t>
      </w:r>
    </w:p>
    <w:p w14:paraId="7DDA0305" w14:textId="77777777" w:rsidR="00C250BE" w:rsidRPr="00C250BE" w:rsidRDefault="00C250BE" w:rsidP="00015CF2">
      <w:pPr>
        <w:widowControl/>
        <w:spacing w:before="240" w:after="240" w:line="480" w:lineRule="auto"/>
        <w:jc w:val="both"/>
        <w:rPr>
          <w:sz w:val="24"/>
          <w:szCs w:val="24"/>
        </w:rPr>
      </w:pPr>
      <w:r w:rsidRPr="00C250BE">
        <w:rPr>
          <w:b/>
          <w:bCs/>
          <w:color w:val="000000"/>
          <w:sz w:val="24"/>
          <w:szCs w:val="24"/>
        </w:rPr>
        <w:t>TREATIES IN FORCE BETWEEN THE PARTIES</w:t>
      </w:r>
    </w:p>
    <w:p w14:paraId="2FB2D00D" w14:textId="49657985" w:rsidR="00C250BE" w:rsidRPr="00C250BE" w:rsidRDefault="00C250BE" w:rsidP="00015CF2">
      <w:pPr>
        <w:widowControl/>
        <w:spacing w:before="240" w:after="240" w:line="480" w:lineRule="auto"/>
        <w:ind w:left="100" w:right="116" w:firstLine="719"/>
        <w:jc w:val="both"/>
        <w:rPr>
          <w:sz w:val="24"/>
          <w:szCs w:val="24"/>
        </w:rPr>
      </w:pPr>
      <w:r w:rsidRPr="00C250BE">
        <w:rPr>
          <w:color w:val="000000"/>
          <w:sz w:val="24"/>
          <w:szCs w:val="24"/>
          <w:shd w:val="clear" w:color="auto" w:fill="FFFFFF"/>
        </w:rPr>
        <w:t xml:space="preserve">Antrano and Remisia are parties to the </w:t>
      </w:r>
      <w:r w:rsidRPr="00C250BE">
        <w:rPr>
          <w:color w:val="000000"/>
          <w:sz w:val="24"/>
          <w:szCs w:val="24"/>
        </w:rPr>
        <w:t>UN Charter</w:t>
      </w:r>
      <w:r w:rsidR="000B5DB7">
        <w:rPr>
          <w:color w:val="000000"/>
          <w:sz w:val="24"/>
          <w:szCs w:val="24"/>
        </w:rPr>
        <w:fldChar w:fldCharType="begin"/>
      </w:r>
      <w:r w:rsidR="000B5DB7">
        <w:rPr>
          <w:color w:val="000000"/>
          <w:sz w:val="24"/>
          <w:szCs w:val="24"/>
        </w:rPr>
        <w:instrText xml:space="preserve"> TA \s "UN Charter" </w:instrText>
      </w:r>
      <w:r w:rsidR="000B5DB7">
        <w:rPr>
          <w:color w:val="000000"/>
          <w:sz w:val="24"/>
          <w:szCs w:val="24"/>
        </w:rPr>
        <w:fldChar w:fldCharType="end"/>
      </w:r>
      <w:r w:rsidRPr="00C250BE">
        <w:rPr>
          <w:color w:val="000000"/>
          <w:sz w:val="24"/>
          <w:szCs w:val="24"/>
        </w:rPr>
        <w:t>, the Statute of the International Court of Justice</w:t>
      </w:r>
      <w:r w:rsidR="007F4365">
        <w:rPr>
          <w:color w:val="000000"/>
          <w:sz w:val="24"/>
          <w:szCs w:val="24"/>
        </w:rPr>
        <w:t>,</w:t>
      </w:r>
      <w:r w:rsidRPr="00C250BE">
        <w:rPr>
          <w:color w:val="000000"/>
          <w:sz w:val="24"/>
          <w:szCs w:val="24"/>
        </w:rPr>
        <w:t xml:space="preserve"> the Vienna Convention on the Law of Treaties (‘VCLT’), the Vienna Convention on Diplomatic Relations</w:t>
      </w:r>
      <w:r w:rsidR="00BC53E8">
        <w:rPr>
          <w:color w:val="000000"/>
          <w:sz w:val="24"/>
          <w:szCs w:val="24"/>
        </w:rPr>
        <w:t xml:space="preserve"> (‘VCDR’)</w:t>
      </w:r>
      <w:r w:rsidRPr="00C250BE">
        <w:rPr>
          <w:color w:val="000000"/>
          <w:sz w:val="24"/>
          <w:szCs w:val="24"/>
        </w:rPr>
        <w:t>, the International Covenant on Civil and Political Rights (‘ICCPR</w:t>
      </w:r>
      <w:r w:rsidR="000E212C">
        <w:rPr>
          <w:color w:val="000000"/>
          <w:sz w:val="24"/>
          <w:szCs w:val="24"/>
        </w:rPr>
        <w:fldChar w:fldCharType="begin"/>
      </w:r>
      <w:r w:rsidR="000E212C">
        <w:rPr>
          <w:color w:val="000000"/>
          <w:sz w:val="24"/>
          <w:szCs w:val="24"/>
        </w:rPr>
        <w:instrText xml:space="preserve"> TA \s "ICCPR" </w:instrText>
      </w:r>
      <w:r w:rsidR="000E212C">
        <w:rPr>
          <w:color w:val="000000"/>
          <w:sz w:val="24"/>
          <w:szCs w:val="24"/>
        </w:rPr>
        <w:fldChar w:fldCharType="end"/>
      </w:r>
      <w:r w:rsidRPr="00C250BE">
        <w:rPr>
          <w:color w:val="000000"/>
          <w:sz w:val="24"/>
          <w:szCs w:val="24"/>
        </w:rPr>
        <w:t xml:space="preserve">’), </w:t>
      </w:r>
      <w:r w:rsidR="00BC53E8" w:rsidRPr="00C250BE">
        <w:rPr>
          <w:color w:val="000000"/>
          <w:sz w:val="24"/>
          <w:szCs w:val="24"/>
        </w:rPr>
        <w:t>the International Covenant on Economic, Social and Cultural Rights (‘ICESCR’),</w:t>
      </w:r>
      <w:r w:rsidR="00BC53E8" w:rsidRPr="00BC53E8">
        <w:rPr>
          <w:color w:val="000000"/>
          <w:sz w:val="24"/>
          <w:szCs w:val="24"/>
        </w:rPr>
        <w:t xml:space="preserve"> </w:t>
      </w:r>
      <w:r w:rsidR="00BC53E8" w:rsidRPr="00C250BE">
        <w:rPr>
          <w:color w:val="000000"/>
          <w:sz w:val="24"/>
          <w:szCs w:val="24"/>
        </w:rPr>
        <w:t>the Convention on the Privileges and Immunities of the United Nations (‘CPI’), the VCCR</w:t>
      </w:r>
      <w:r w:rsidR="000B5DB7">
        <w:rPr>
          <w:color w:val="000000"/>
          <w:sz w:val="24"/>
          <w:szCs w:val="24"/>
        </w:rPr>
        <w:fldChar w:fldCharType="begin"/>
      </w:r>
      <w:r w:rsidR="000B5DB7">
        <w:rPr>
          <w:color w:val="000000"/>
          <w:sz w:val="24"/>
          <w:szCs w:val="24"/>
        </w:rPr>
        <w:instrText xml:space="preserve"> TA \s "VCCR" </w:instrText>
      </w:r>
      <w:r w:rsidR="000B5DB7">
        <w:rPr>
          <w:color w:val="000000"/>
          <w:sz w:val="24"/>
          <w:szCs w:val="24"/>
        </w:rPr>
        <w:fldChar w:fldCharType="end"/>
      </w:r>
      <w:r w:rsidR="00BC53E8">
        <w:rPr>
          <w:color w:val="000000"/>
          <w:sz w:val="24"/>
          <w:szCs w:val="24"/>
        </w:rPr>
        <w:t>,</w:t>
      </w:r>
      <w:r w:rsidR="00BC53E8">
        <w:rPr>
          <w:color w:val="000000"/>
          <w:sz w:val="24"/>
          <w:szCs w:val="24"/>
        </w:rPr>
        <w:t xml:space="preserve"> </w:t>
      </w:r>
      <w:r w:rsidRPr="00C250BE">
        <w:rPr>
          <w:color w:val="000000"/>
          <w:sz w:val="24"/>
          <w:szCs w:val="24"/>
        </w:rPr>
        <w:t>the CSP</w:t>
      </w:r>
      <w:r w:rsidR="00BC53E8">
        <w:rPr>
          <w:color w:val="000000"/>
          <w:sz w:val="24"/>
          <w:szCs w:val="24"/>
        </w:rPr>
        <w:t xml:space="preserve"> and</w:t>
      </w:r>
      <w:r w:rsidR="00BC53E8" w:rsidRPr="00C250BE">
        <w:rPr>
          <w:color w:val="000000"/>
          <w:sz w:val="24"/>
          <w:szCs w:val="24"/>
        </w:rPr>
        <w:t xml:space="preserve"> </w:t>
      </w:r>
      <w:r w:rsidRPr="00C250BE">
        <w:rPr>
          <w:color w:val="000000"/>
          <w:sz w:val="24"/>
          <w:szCs w:val="24"/>
        </w:rPr>
        <w:t>the CRS</w:t>
      </w:r>
      <w:r w:rsidR="00BC53E8">
        <w:rPr>
          <w:color w:val="000000"/>
          <w:sz w:val="24"/>
          <w:szCs w:val="24"/>
        </w:rPr>
        <w:t>.</w:t>
      </w:r>
    </w:p>
    <w:p w14:paraId="6A33AE76" w14:textId="77777777" w:rsidR="00BC53E8" w:rsidRPr="00C250BE" w:rsidRDefault="00BC53E8" w:rsidP="00015CF2">
      <w:pPr>
        <w:widowControl/>
        <w:spacing w:before="240" w:after="240" w:line="480" w:lineRule="auto"/>
        <w:ind w:left="100" w:right="116" w:firstLine="719"/>
        <w:jc w:val="both"/>
        <w:rPr>
          <w:sz w:val="24"/>
          <w:szCs w:val="24"/>
        </w:rPr>
      </w:pPr>
      <w:r w:rsidRPr="00C250BE">
        <w:rPr>
          <w:color w:val="000000"/>
          <w:sz w:val="24"/>
          <w:szCs w:val="24"/>
        </w:rPr>
        <w:lastRenderedPageBreak/>
        <w:t>Remisia submitted a declaration upon accession to the CRS which intended to preserve its application of the DCA. However, Antrano and three other State parties objected to this reservation on the grounds that it was incompatible with the object and purpose of the treaty.</w:t>
      </w:r>
    </w:p>
    <w:p w14:paraId="79E458AA" w14:textId="1F9555FC" w:rsidR="00C250BE" w:rsidRPr="00C250BE" w:rsidRDefault="00C250BE" w:rsidP="00015CF2">
      <w:pPr>
        <w:widowControl/>
        <w:spacing w:before="240" w:after="240" w:line="480" w:lineRule="auto"/>
        <w:ind w:left="100" w:right="116" w:firstLine="719"/>
        <w:jc w:val="both"/>
        <w:rPr>
          <w:sz w:val="24"/>
          <w:szCs w:val="24"/>
        </w:rPr>
      </w:pPr>
      <w:r w:rsidRPr="00C250BE">
        <w:rPr>
          <w:color w:val="000000"/>
          <w:sz w:val="24"/>
          <w:szCs w:val="24"/>
        </w:rPr>
        <w:t>Antrano issued a declaration upon accession to the CPI,</w:t>
      </w:r>
      <w:r w:rsidR="000E212C">
        <w:rPr>
          <w:color w:val="000000"/>
          <w:sz w:val="24"/>
          <w:szCs w:val="24"/>
        </w:rPr>
        <w:fldChar w:fldCharType="begin"/>
      </w:r>
      <w:r w:rsidR="000E212C">
        <w:instrText xml:space="preserve"> TA \l "</w:instrText>
      </w:r>
      <w:r w:rsidR="000E212C" w:rsidRPr="005D78BE">
        <w:rPr>
          <w:sz w:val="24"/>
          <w:szCs w:val="24"/>
        </w:rPr>
        <w:instrText>Convention on Privileges and Immunities of the United Nations (adopted 13 February 1946, entered into force 17 September 1946) 1 UNTS 15 [‘CPI,’]</w:instrText>
      </w:r>
      <w:r w:rsidR="000E212C">
        <w:instrText xml:space="preserve">" \s "CPI," \c 2 </w:instrText>
      </w:r>
      <w:r w:rsidR="000E212C">
        <w:rPr>
          <w:color w:val="000000"/>
          <w:sz w:val="24"/>
          <w:szCs w:val="24"/>
        </w:rPr>
        <w:fldChar w:fldCharType="end"/>
      </w:r>
      <w:r w:rsidRPr="00C250BE">
        <w:rPr>
          <w:color w:val="000000"/>
          <w:sz w:val="24"/>
          <w:szCs w:val="24"/>
        </w:rPr>
        <w:t xml:space="preserve"> stating that the convention would not affect its right to exercise diplomatic protection over its nationals, even if it concerns the interests of the UN. </w:t>
      </w:r>
    </w:p>
    <w:p w14:paraId="7B0F7DFF" w14:textId="22D1EB11" w:rsidR="008C2177" w:rsidRPr="00F62BB5" w:rsidRDefault="008C2177" w:rsidP="00015CF2">
      <w:pPr>
        <w:pBdr>
          <w:top w:val="nil"/>
          <w:left w:val="nil"/>
          <w:bottom w:val="nil"/>
          <w:right w:val="nil"/>
          <w:between w:val="nil"/>
        </w:pBdr>
        <w:spacing w:before="240" w:after="240" w:line="480" w:lineRule="auto"/>
        <w:ind w:left="100" w:right="116" w:firstLine="719"/>
        <w:jc w:val="both"/>
        <w:rPr>
          <w:sz w:val="24"/>
          <w:szCs w:val="24"/>
        </w:rPr>
      </w:pPr>
    </w:p>
    <w:p w14:paraId="698874FB" w14:textId="77777777" w:rsidR="003636F7" w:rsidRDefault="003636F7" w:rsidP="00015CF2">
      <w:pPr>
        <w:pBdr>
          <w:top w:val="nil"/>
          <w:left w:val="nil"/>
          <w:bottom w:val="nil"/>
          <w:right w:val="nil"/>
          <w:between w:val="nil"/>
        </w:pBdr>
        <w:spacing w:after="200" w:line="480" w:lineRule="auto"/>
        <w:ind w:left="100" w:right="116" w:firstLine="719"/>
        <w:jc w:val="both"/>
        <w:rPr>
          <w:sz w:val="24"/>
          <w:szCs w:val="24"/>
        </w:rPr>
      </w:pPr>
    </w:p>
    <w:p w14:paraId="2329C072" w14:textId="77777777" w:rsidR="003636F7" w:rsidRDefault="003636F7" w:rsidP="00015CF2">
      <w:pPr>
        <w:pBdr>
          <w:top w:val="nil"/>
          <w:left w:val="nil"/>
          <w:bottom w:val="nil"/>
          <w:right w:val="nil"/>
          <w:between w:val="nil"/>
        </w:pBdr>
        <w:spacing w:after="200" w:line="480" w:lineRule="auto"/>
        <w:ind w:left="100" w:right="116" w:firstLine="719"/>
        <w:jc w:val="both"/>
        <w:rPr>
          <w:sz w:val="24"/>
          <w:szCs w:val="24"/>
        </w:rPr>
      </w:pPr>
    </w:p>
    <w:p w14:paraId="0FB3FEF1" w14:textId="77777777" w:rsidR="003636F7" w:rsidRDefault="003636F7" w:rsidP="00015CF2">
      <w:pPr>
        <w:pBdr>
          <w:top w:val="nil"/>
          <w:left w:val="nil"/>
          <w:bottom w:val="nil"/>
          <w:right w:val="nil"/>
          <w:between w:val="nil"/>
        </w:pBdr>
        <w:spacing w:after="200" w:line="480" w:lineRule="auto"/>
        <w:ind w:left="100" w:right="116" w:firstLine="719"/>
        <w:jc w:val="both"/>
        <w:rPr>
          <w:sz w:val="24"/>
          <w:szCs w:val="24"/>
        </w:rPr>
      </w:pPr>
    </w:p>
    <w:p w14:paraId="61051E39" w14:textId="1C656B24" w:rsidR="003636F7" w:rsidRDefault="000D480A" w:rsidP="00015CF2">
      <w:pPr>
        <w:spacing w:line="480" w:lineRule="auto"/>
        <w:rPr>
          <w:sz w:val="24"/>
          <w:szCs w:val="24"/>
        </w:rPr>
      </w:pPr>
      <w:r>
        <w:rPr>
          <w:sz w:val="24"/>
          <w:szCs w:val="24"/>
        </w:rPr>
        <w:br w:type="page"/>
      </w:r>
    </w:p>
    <w:p w14:paraId="6432B5B9" w14:textId="77777777" w:rsidR="008C2177" w:rsidRDefault="00000000" w:rsidP="00015CF2">
      <w:pPr>
        <w:pStyle w:val="Ttulo1"/>
        <w:spacing w:before="240" w:after="240" w:line="480" w:lineRule="auto"/>
        <w:ind w:left="2735" w:right="2753"/>
      </w:pPr>
      <w:bookmarkStart w:id="5" w:name="_heading=h.1fob9te" w:colFirst="0" w:colLast="0"/>
      <w:bookmarkStart w:id="6" w:name="_Toc155961548"/>
      <w:bookmarkEnd w:id="5"/>
      <w:r>
        <w:rPr>
          <w:u w:val="single"/>
        </w:rPr>
        <w:lastRenderedPageBreak/>
        <w:t>SUMMARY OF PLEADINGS</w:t>
      </w:r>
      <w:bookmarkEnd w:id="6"/>
    </w:p>
    <w:p w14:paraId="1E60A202" w14:textId="77777777" w:rsidR="00BC53E8" w:rsidRPr="00BC53E8" w:rsidRDefault="00BC53E8" w:rsidP="00015CF2">
      <w:pPr>
        <w:widowControl/>
        <w:spacing w:before="240" w:after="240" w:line="480" w:lineRule="auto"/>
        <w:ind w:right="17"/>
        <w:jc w:val="center"/>
        <w:rPr>
          <w:sz w:val="24"/>
          <w:szCs w:val="24"/>
        </w:rPr>
      </w:pPr>
      <w:r w:rsidRPr="00BC53E8">
        <w:rPr>
          <w:b/>
          <w:bCs/>
          <w:color w:val="000000"/>
          <w:sz w:val="24"/>
          <w:szCs w:val="24"/>
        </w:rPr>
        <w:t>I</w:t>
      </w:r>
    </w:p>
    <w:p w14:paraId="7C33E297" w14:textId="4F53EB0F" w:rsidR="00BC53E8" w:rsidRPr="00BC53E8" w:rsidRDefault="00BC53E8" w:rsidP="00015CF2">
      <w:pPr>
        <w:widowControl/>
        <w:spacing w:before="240" w:after="240" w:line="480" w:lineRule="auto"/>
        <w:ind w:firstLine="720"/>
        <w:jc w:val="both"/>
        <w:rPr>
          <w:sz w:val="24"/>
          <w:szCs w:val="24"/>
        </w:rPr>
      </w:pPr>
      <w:r w:rsidRPr="00BC53E8">
        <w:rPr>
          <w:color w:val="000000"/>
          <w:sz w:val="24"/>
          <w:szCs w:val="24"/>
        </w:rPr>
        <w:t xml:space="preserve">Antrano has standing to invoke the responsibility of Remisia for violating </w:t>
      </w:r>
      <w:r w:rsidRPr="00BC53E8">
        <w:rPr>
          <w:i/>
          <w:iCs/>
          <w:color w:val="000000"/>
          <w:sz w:val="24"/>
          <w:szCs w:val="24"/>
        </w:rPr>
        <w:t>Erga Omnes Partes</w:t>
      </w:r>
      <w:r w:rsidRPr="00BC53E8">
        <w:rPr>
          <w:color w:val="000000"/>
          <w:sz w:val="24"/>
          <w:szCs w:val="24"/>
        </w:rPr>
        <w:t xml:space="preserve"> obligations contained in the CRS by rendering the Sterren Forty stateless, and in the ICCPR</w:t>
      </w:r>
      <w:r w:rsidR="000E212C">
        <w:rPr>
          <w:color w:val="000000"/>
          <w:sz w:val="24"/>
          <w:szCs w:val="24"/>
        </w:rPr>
        <w:fldChar w:fldCharType="begin"/>
      </w:r>
      <w:r w:rsidR="000E212C">
        <w:rPr>
          <w:color w:val="000000"/>
          <w:sz w:val="24"/>
          <w:szCs w:val="24"/>
        </w:rPr>
        <w:instrText xml:space="preserve"> TA \s "ICCPR" </w:instrText>
      </w:r>
      <w:r w:rsidR="000E212C">
        <w:rPr>
          <w:color w:val="000000"/>
          <w:sz w:val="24"/>
          <w:szCs w:val="24"/>
        </w:rPr>
        <w:fldChar w:fldCharType="end"/>
      </w:r>
      <w:r w:rsidRPr="00BC53E8">
        <w:rPr>
          <w:color w:val="000000"/>
          <w:sz w:val="24"/>
          <w:szCs w:val="24"/>
        </w:rPr>
        <w:t xml:space="preserve"> for breaching the Sterren Forty’s rights to freedom of expression and assembly. Alternatively, this Court should grant standing to Antrano based on the </w:t>
      </w:r>
      <w:r w:rsidRPr="00BC53E8">
        <w:rPr>
          <w:i/>
          <w:iCs/>
          <w:color w:val="000000"/>
          <w:sz w:val="24"/>
          <w:szCs w:val="24"/>
        </w:rPr>
        <w:t>Erga Omnes</w:t>
      </w:r>
      <w:r w:rsidRPr="00BC53E8">
        <w:rPr>
          <w:color w:val="000000"/>
          <w:sz w:val="24"/>
          <w:szCs w:val="24"/>
        </w:rPr>
        <w:t xml:space="preserve"> obligation to protect the basic human right to nationality. Antrano can protect the Sterren Forty even if they are not Antranan citizens, as the </w:t>
      </w:r>
      <w:r>
        <w:rPr>
          <w:color w:val="000000"/>
          <w:sz w:val="24"/>
          <w:szCs w:val="24"/>
        </w:rPr>
        <w:t>N</w:t>
      </w:r>
      <w:r w:rsidRPr="00BC53E8">
        <w:rPr>
          <w:color w:val="000000"/>
          <w:sz w:val="24"/>
          <w:szCs w:val="24"/>
        </w:rPr>
        <w:t xml:space="preserve">ationality of the </w:t>
      </w:r>
      <w:r>
        <w:rPr>
          <w:color w:val="000000"/>
          <w:sz w:val="24"/>
          <w:szCs w:val="24"/>
        </w:rPr>
        <w:t>C</w:t>
      </w:r>
      <w:r w:rsidRPr="00BC53E8">
        <w:rPr>
          <w:color w:val="000000"/>
          <w:sz w:val="24"/>
          <w:szCs w:val="24"/>
        </w:rPr>
        <w:t xml:space="preserve">laimant </w:t>
      </w:r>
      <w:r>
        <w:rPr>
          <w:color w:val="000000"/>
          <w:sz w:val="24"/>
          <w:szCs w:val="24"/>
        </w:rPr>
        <w:t>R</w:t>
      </w:r>
      <w:r w:rsidRPr="00BC53E8">
        <w:rPr>
          <w:color w:val="000000"/>
          <w:sz w:val="24"/>
          <w:szCs w:val="24"/>
        </w:rPr>
        <w:t>ule is not required for claims based on</w:t>
      </w:r>
      <w:r w:rsidRPr="00BC53E8">
        <w:rPr>
          <w:i/>
          <w:iCs/>
          <w:color w:val="000000"/>
          <w:sz w:val="24"/>
          <w:szCs w:val="24"/>
        </w:rPr>
        <w:t xml:space="preserve"> Erga Omnes Partes </w:t>
      </w:r>
      <w:r w:rsidRPr="00BC53E8">
        <w:rPr>
          <w:color w:val="000000"/>
          <w:sz w:val="24"/>
          <w:szCs w:val="24"/>
        </w:rPr>
        <w:t xml:space="preserve">or </w:t>
      </w:r>
      <w:r w:rsidRPr="00BC53E8">
        <w:rPr>
          <w:i/>
          <w:iCs/>
          <w:color w:val="000000"/>
          <w:sz w:val="24"/>
          <w:szCs w:val="24"/>
        </w:rPr>
        <w:t xml:space="preserve">Erga Omnes </w:t>
      </w:r>
      <w:r w:rsidRPr="00BC53E8">
        <w:rPr>
          <w:color w:val="000000"/>
          <w:sz w:val="24"/>
          <w:szCs w:val="24"/>
        </w:rPr>
        <w:t>obligations</w:t>
      </w:r>
      <w:r w:rsidRPr="00BC53E8">
        <w:rPr>
          <w:i/>
          <w:iCs/>
          <w:color w:val="000000"/>
          <w:sz w:val="24"/>
          <w:szCs w:val="24"/>
        </w:rPr>
        <w:t xml:space="preserve">, </w:t>
      </w:r>
      <w:r w:rsidRPr="00BC53E8">
        <w:rPr>
          <w:color w:val="000000"/>
          <w:sz w:val="24"/>
          <w:szCs w:val="24"/>
        </w:rPr>
        <w:t>in order to ensure that stateless persons are still able to be protected at international law. </w:t>
      </w:r>
    </w:p>
    <w:p w14:paraId="6D88C013" w14:textId="77777777" w:rsidR="00BC53E8" w:rsidRPr="00BC53E8" w:rsidRDefault="00BC53E8" w:rsidP="00015CF2">
      <w:pPr>
        <w:widowControl/>
        <w:spacing w:before="240" w:after="240" w:line="480" w:lineRule="auto"/>
        <w:jc w:val="center"/>
        <w:rPr>
          <w:sz w:val="24"/>
          <w:szCs w:val="24"/>
        </w:rPr>
      </w:pPr>
      <w:r w:rsidRPr="00BC53E8">
        <w:rPr>
          <w:b/>
          <w:bCs/>
          <w:color w:val="000000"/>
          <w:sz w:val="24"/>
          <w:szCs w:val="24"/>
        </w:rPr>
        <w:t>II</w:t>
      </w:r>
    </w:p>
    <w:p w14:paraId="323D979B" w14:textId="77777777" w:rsidR="00BC53E8" w:rsidRPr="00BC53E8" w:rsidRDefault="00BC53E8" w:rsidP="00015CF2">
      <w:pPr>
        <w:widowControl/>
        <w:spacing w:before="240" w:after="240" w:line="480" w:lineRule="auto"/>
        <w:ind w:firstLine="720"/>
        <w:jc w:val="both"/>
        <w:rPr>
          <w:sz w:val="24"/>
          <w:szCs w:val="24"/>
        </w:rPr>
      </w:pPr>
      <w:r w:rsidRPr="00BC53E8">
        <w:rPr>
          <w:color w:val="000000"/>
          <w:sz w:val="24"/>
          <w:szCs w:val="24"/>
        </w:rPr>
        <w:t>Remisia breached its CRS obligations by rendering the Sterren Forty stateless. It violated Article 8(1) as deprivation of the Sterren Forty’s nationality was not in accordance with law and was not based on the exceptions recognized in Article 8(3). Moreover, rendering them stateless was disproportionate. Remisia had other means at its disposal to sanction the group, such as the shorter imprisonment sentences imposed on the other 190 students. </w:t>
      </w:r>
    </w:p>
    <w:p w14:paraId="7FEDF523" w14:textId="191F0BD5" w:rsidR="00BC53E8" w:rsidRPr="00BC53E8" w:rsidRDefault="00BC53E8" w:rsidP="00015CF2">
      <w:pPr>
        <w:widowControl/>
        <w:spacing w:before="240" w:after="240" w:line="480" w:lineRule="auto"/>
        <w:ind w:firstLine="720"/>
        <w:jc w:val="both"/>
        <w:rPr>
          <w:sz w:val="24"/>
          <w:szCs w:val="24"/>
        </w:rPr>
      </w:pPr>
      <w:r w:rsidRPr="00BC53E8">
        <w:rPr>
          <w:color w:val="000000"/>
          <w:sz w:val="24"/>
          <w:szCs w:val="24"/>
        </w:rPr>
        <w:t xml:space="preserve">Remisia violated Article 9 by depriving the Sterren Forty’s nationality based on their political opinions about the Queen’s government. </w:t>
      </w:r>
      <w:r w:rsidR="00FC5094" w:rsidRPr="00FC5094">
        <w:rPr>
          <w:color w:val="000000"/>
          <w:sz w:val="24"/>
          <w:szCs w:val="24"/>
        </w:rPr>
        <w:t>Finally, Remisia cannot rely on the declaration it submitted under Article 8(3) to be exempt from its obligations under Article 8(1) of the CRS</w:t>
      </w:r>
      <w:r w:rsidRPr="00BC53E8">
        <w:rPr>
          <w:color w:val="000000"/>
          <w:sz w:val="24"/>
          <w:szCs w:val="24"/>
        </w:rPr>
        <w:t>. This ‘declaration’ constitutes a reservation incompatible with the treaty, since withdrawing nationality as a punishment for committing crimes is contrary to the object and purpose of the CRS.</w:t>
      </w:r>
    </w:p>
    <w:p w14:paraId="66E24C21" w14:textId="1234D472" w:rsidR="00BC53E8" w:rsidRPr="00BC53E8" w:rsidRDefault="00BC53E8" w:rsidP="00015CF2">
      <w:pPr>
        <w:widowControl/>
        <w:spacing w:before="240" w:after="240" w:line="480" w:lineRule="auto"/>
        <w:ind w:firstLine="720"/>
        <w:jc w:val="both"/>
        <w:rPr>
          <w:sz w:val="24"/>
          <w:szCs w:val="24"/>
        </w:rPr>
      </w:pPr>
      <w:r w:rsidRPr="00BC53E8">
        <w:rPr>
          <w:color w:val="000000"/>
          <w:sz w:val="24"/>
          <w:szCs w:val="24"/>
        </w:rPr>
        <w:lastRenderedPageBreak/>
        <w:t>Remisia violated the Sterren Forty’s ICCPR</w:t>
      </w:r>
      <w:r w:rsidR="000E212C">
        <w:rPr>
          <w:color w:val="000000"/>
          <w:sz w:val="24"/>
          <w:szCs w:val="24"/>
        </w:rPr>
        <w:fldChar w:fldCharType="begin"/>
      </w:r>
      <w:r w:rsidR="000E212C">
        <w:rPr>
          <w:color w:val="000000"/>
          <w:sz w:val="24"/>
          <w:szCs w:val="24"/>
        </w:rPr>
        <w:instrText xml:space="preserve"> TA \s "ICCPR" </w:instrText>
      </w:r>
      <w:r w:rsidR="000E212C">
        <w:rPr>
          <w:color w:val="000000"/>
          <w:sz w:val="24"/>
          <w:szCs w:val="24"/>
        </w:rPr>
        <w:fldChar w:fldCharType="end"/>
      </w:r>
      <w:r w:rsidRPr="00BC53E8">
        <w:rPr>
          <w:color w:val="000000"/>
          <w:sz w:val="24"/>
          <w:szCs w:val="24"/>
        </w:rPr>
        <w:t xml:space="preserve"> rights by imprisoning and depriving them of citizenship to restrict their rights to freedom of expression and assembly. The suppression of their peaceful protests was neither provided by law nor based on the legitimate aims recognized in the ICCPR. Further, this restriction was not necessary as it fell within the realm of legitimate political expression.</w:t>
      </w:r>
    </w:p>
    <w:p w14:paraId="128F771E" w14:textId="77777777" w:rsidR="00BC53E8" w:rsidRPr="00BC53E8" w:rsidRDefault="00BC53E8" w:rsidP="00015CF2">
      <w:pPr>
        <w:widowControl/>
        <w:spacing w:before="240" w:after="240" w:line="480" w:lineRule="auto"/>
        <w:ind w:firstLine="720"/>
        <w:jc w:val="both"/>
        <w:rPr>
          <w:sz w:val="24"/>
          <w:szCs w:val="24"/>
        </w:rPr>
      </w:pPr>
      <w:r w:rsidRPr="00BC53E8">
        <w:rPr>
          <w:color w:val="000000"/>
          <w:sz w:val="24"/>
          <w:szCs w:val="24"/>
          <w:shd w:val="clear" w:color="auto" w:fill="FFFFFF"/>
        </w:rPr>
        <w:t>Therefore, as a State seeking to fight against the plight of statelessness, Antrano requests that this Court order the restitution of the Sterren Forty’s Remisian nationality.</w:t>
      </w:r>
    </w:p>
    <w:p w14:paraId="24D9674F" w14:textId="77777777" w:rsidR="00BC53E8" w:rsidRPr="00BC53E8" w:rsidRDefault="00BC53E8" w:rsidP="00015CF2">
      <w:pPr>
        <w:widowControl/>
        <w:spacing w:before="240" w:after="240" w:line="480" w:lineRule="auto"/>
        <w:jc w:val="center"/>
        <w:rPr>
          <w:sz w:val="24"/>
          <w:szCs w:val="24"/>
        </w:rPr>
      </w:pPr>
      <w:r w:rsidRPr="00BC53E8">
        <w:rPr>
          <w:b/>
          <w:bCs/>
          <w:color w:val="000000"/>
          <w:sz w:val="24"/>
          <w:szCs w:val="24"/>
          <w:shd w:val="clear" w:color="auto" w:fill="FFFFFF"/>
        </w:rPr>
        <w:t>III</w:t>
      </w:r>
    </w:p>
    <w:p w14:paraId="435CF806" w14:textId="43A3AFE6" w:rsidR="00BC53E8" w:rsidRPr="00BC53E8" w:rsidRDefault="00BC53E8" w:rsidP="00015CF2">
      <w:pPr>
        <w:widowControl/>
        <w:spacing w:before="240" w:after="240" w:line="480" w:lineRule="auto"/>
        <w:ind w:firstLine="720"/>
        <w:jc w:val="both"/>
        <w:rPr>
          <w:sz w:val="24"/>
          <w:szCs w:val="24"/>
        </w:rPr>
      </w:pPr>
      <w:r w:rsidRPr="00BC53E8">
        <w:rPr>
          <w:color w:val="000000"/>
          <w:sz w:val="24"/>
          <w:szCs w:val="24"/>
          <w:shd w:val="clear" w:color="auto" w:fill="FFFFFF"/>
        </w:rPr>
        <w:t xml:space="preserve">Antrano did not violate international law when it refused to allow Remisian consular assistance to Ms. Shaw. Antrano is not obliged to recognize Ms. Shaw’s Remisian nationality, as it was a purchased citizenship granted by the NIA, which is not supported under customary international law. </w:t>
      </w:r>
      <w:r w:rsidR="00FC5094">
        <w:rPr>
          <w:color w:val="000000"/>
          <w:sz w:val="24"/>
          <w:szCs w:val="24"/>
          <w:shd w:val="clear" w:color="auto" w:fill="FFFFFF"/>
        </w:rPr>
        <w:t>Moreover</w:t>
      </w:r>
      <w:r w:rsidRPr="00BC53E8">
        <w:rPr>
          <w:color w:val="000000"/>
          <w:sz w:val="24"/>
          <w:szCs w:val="24"/>
          <w:shd w:val="clear" w:color="auto" w:fill="FFFFFF"/>
        </w:rPr>
        <w:t xml:space="preserve">, Ms. Shaw does not have a genuine link with Remisia, which bars Remisia’s claim of consular protection over her. Instead, </w:t>
      </w:r>
      <w:r w:rsidRPr="00BC53E8">
        <w:rPr>
          <w:color w:val="000000"/>
          <w:sz w:val="24"/>
          <w:szCs w:val="24"/>
        </w:rPr>
        <w:t>Ms. Shaw had dual nationality and acquired Remisia</w:t>
      </w:r>
      <w:r w:rsidR="00FC5094">
        <w:rPr>
          <w:color w:val="000000"/>
          <w:sz w:val="24"/>
          <w:szCs w:val="24"/>
        </w:rPr>
        <w:t>’</w:t>
      </w:r>
      <w:r w:rsidRPr="00BC53E8">
        <w:rPr>
          <w:color w:val="000000"/>
          <w:sz w:val="24"/>
          <w:szCs w:val="24"/>
        </w:rPr>
        <w:t>s nationality to obtain protection against her criminal prosecutions in Molvania, the State of her effective nationality.</w:t>
      </w:r>
    </w:p>
    <w:p w14:paraId="06D9FE0E" w14:textId="16F2802B" w:rsidR="00BC53E8" w:rsidRPr="00BC53E8" w:rsidRDefault="00BC53E8" w:rsidP="00015CF2">
      <w:pPr>
        <w:widowControl/>
        <w:spacing w:before="240" w:after="240" w:line="480" w:lineRule="auto"/>
        <w:ind w:firstLine="720"/>
        <w:jc w:val="both"/>
        <w:rPr>
          <w:sz w:val="24"/>
          <w:szCs w:val="24"/>
        </w:rPr>
      </w:pPr>
      <w:r w:rsidRPr="00BC53E8">
        <w:rPr>
          <w:color w:val="000000"/>
          <w:sz w:val="24"/>
          <w:szCs w:val="24"/>
        </w:rPr>
        <w:t>Conversely, Antrano fulfilled its obligations under Article 36 of the VCCR</w:t>
      </w:r>
      <w:r w:rsidR="000B5DB7">
        <w:rPr>
          <w:color w:val="000000"/>
          <w:sz w:val="24"/>
          <w:szCs w:val="24"/>
        </w:rPr>
        <w:fldChar w:fldCharType="begin"/>
      </w:r>
      <w:r w:rsidR="000B5DB7">
        <w:rPr>
          <w:color w:val="000000"/>
          <w:sz w:val="24"/>
          <w:szCs w:val="24"/>
        </w:rPr>
        <w:instrText xml:space="preserve"> TA \s "VCCR" </w:instrText>
      </w:r>
      <w:r w:rsidR="000B5DB7">
        <w:rPr>
          <w:color w:val="000000"/>
          <w:sz w:val="24"/>
          <w:szCs w:val="24"/>
        </w:rPr>
        <w:fldChar w:fldCharType="end"/>
      </w:r>
      <w:r w:rsidRPr="00BC53E8">
        <w:rPr>
          <w:color w:val="000000"/>
          <w:sz w:val="24"/>
          <w:szCs w:val="24"/>
        </w:rPr>
        <w:t xml:space="preserve">. It maintains that Remisia did not have the right to provide consular assistance to Ms. Shaw. Antrano guaranteed her rights to consular assistance by allowing her access to the Molvanian consul. </w:t>
      </w:r>
      <w:r w:rsidR="00FC5094">
        <w:rPr>
          <w:color w:val="000000"/>
          <w:sz w:val="24"/>
          <w:szCs w:val="24"/>
        </w:rPr>
        <w:t xml:space="preserve">Therefore, </w:t>
      </w:r>
      <w:r w:rsidRPr="00BC53E8">
        <w:rPr>
          <w:color w:val="000000"/>
          <w:sz w:val="24"/>
          <w:szCs w:val="24"/>
        </w:rPr>
        <w:t>Antrano’s laws d</w:t>
      </w:r>
      <w:r w:rsidR="00FC5094">
        <w:rPr>
          <w:color w:val="000000"/>
          <w:sz w:val="24"/>
          <w:szCs w:val="24"/>
        </w:rPr>
        <w:t>id</w:t>
      </w:r>
      <w:r w:rsidRPr="00BC53E8">
        <w:rPr>
          <w:color w:val="000000"/>
          <w:sz w:val="24"/>
          <w:szCs w:val="24"/>
        </w:rPr>
        <w:t xml:space="preserve"> not nullif</w:t>
      </w:r>
      <w:r w:rsidR="00FC5094">
        <w:rPr>
          <w:color w:val="000000"/>
          <w:sz w:val="24"/>
          <w:szCs w:val="24"/>
        </w:rPr>
        <w:t>y</w:t>
      </w:r>
      <w:r w:rsidRPr="00BC53E8">
        <w:rPr>
          <w:color w:val="000000"/>
          <w:sz w:val="24"/>
          <w:szCs w:val="24"/>
        </w:rPr>
        <w:t xml:space="preserve"> the purpose of </w:t>
      </w:r>
      <w:r w:rsidR="00FC5094">
        <w:rPr>
          <w:color w:val="000000"/>
          <w:sz w:val="24"/>
          <w:szCs w:val="24"/>
        </w:rPr>
        <w:t>Ms. Shaw’s</w:t>
      </w:r>
      <w:r w:rsidRPr="00BC53E8">
        <w:rPr>
          <w:color w:val="000000"/>
          <w:sz w:val="24"/>
          <w:szCs w:val="24"/>
        </w:rPr>
        <w:t xml:space="preserve"> rights pursuant to Article 36(2)</w:t>
      </w:r>
      <w:r w:rsidR="00FC5094">
        <w:rPr>
          <w:color w:val="000000"/>
          <w:sz w:val="24"/>
          <w:szCs w:val="24"/>
        </w:rPr>
        <w:t xml:space="preserve"> of the VCCR</w:t>
      </w:r>
      <w:r w:rsidRPr="00BC53E8">
        <w:rPr>
          <w:color w:val="000000"/>
          <w:sz w:val="24"/>
          <w:szCs w:val="24"/>
        </w:rPr>
        <w:t>.</w:t>
      </w:r>
    </w:p>
    <w:p w14:paraId="73F4152E" w14:textId="77777777" w:rsidR="00BC53E8" w:rsidRPr="00BC53E8" w:rsidRDefault="00BC53E8" w:rsidP="00015CF2">
      <w:pPr>
        <w:widowControl/>
        <w:spacing w:before="240" w:after="240" w:line="480" w:lineRule="auto"/>
        <w:jc w:val="center"/>
        <w:rPr>
          <w:sz w:val="24"/>
          <w:szCs w:val="24"/>
        </w:rPr>
      </w:pPr>
      <w:r w:rsidRPr="00BC53E8">
        <w:rPr>
          <w:b/>
          <w:bCs/>
          <w:color w:val="000000"/>
          <w:sz w:val="24"/>
          <w:szCs w:val="24"/>
        </w:rPr>
        <w:t>IV</w:t>
      </w:r>
    </w:p>
    <w:p w14:paraId="75DD8B74" w14:textId="1A5D8353" w:rsidR="00BC53E8" w:rsidRPr="00BC53E8" w:rsidRDefault="00BC53E8" w:rsidP="00015CF2">
      <w:pPr>
        <w:widowControl/>
        <w:spacing w:before="240" w:after="240" w:line="480" w:lineRule="auto"/>
        <w:ind w:firstLine="720"/>
        <w:jc w:val="both"/>
        <w:rPr>
          <w:sz w:val="24"/>
          <w:szCs w:val="24"/>
        </w:rPr>
      </w:pPr>
      <w:r w:rsidRPr="00BC53E8">
        <w:rPr>
          <w:color w:val="000000"/>
          <w:sz w:val="24"/>
          <w:szCs w:val="24"/>
          <w:shd w:val="clear" w:color="auto" w:fill="FFFFFF"/>
        </w:rPr>
        <w:t xml:space="preserve">Remisia violated international law by denying Dr. Malex entry as required by UNSC Resolution 99997. First, Antrano’s claim is admissible since its right to exercise diplomatic </w:t>
      </w:r>
      <w:r w:rsidRPr="00BC53E8">
        <w:rPr>
          <w:color w:val="000000"/>
          <w:sz w:val="24"/>
          <w:szCs w:val="24"/>
          <w:shd w:val="clear" w:color="auto" w:fill="FFFFFF"/>
        </w:rPr>
        <w:lastRenderedPageBreak/>
        <w:t xml:space="preserve">protection on behalf of Dr. Malex is not precluded by the UN’s functional protection. Second, the UNSC has the competence to investigate the Sterren Forty’s situation, as the loss of nationality and resulting statelessness </w:t>
      </w:r>
      <w:r w:rsidR="00FC5094">
        <w:rPr>
          <w:color w:val="000000"/>
          <w:sz w:val="24"/>
          <w:szCs w:val="24"/>
          <w:shd w:val="clear" w:color="auto" w:fill="FFFFFF"/>
        </w:rPr>
        <w:t>are</w:t>
      </w:r>
      <w:r w:rsidRPr="00BC53E8">
        <w:rPr>
          <w:color w:val="000000"/>
          <w:sz w:val="24"/>
          <w:szCs w:val="24"/>
          <w:shd w:val="clear" w:color="auto" w:fill="FFFFFF"/>
        </w:rPr>
        <w:t xml:space="preserve"> not matter</w:t>
      </w:r>
      <w:r w:rsidR="00FC5094">
        <w:rPr>
          <w:color w:val="000000"/>
          <w:sz w:val="24"/>
          <w:szCs w:val="24"/>
          <w:shd w:val="clear" w:color="auto" w:fill="FFFFFF"/>
        </w:rPr>
        <w:t>s</w:t>
      </w:r>
      <w:r w:rsidRPr="00BC53E8">
        <w:rPr>
          <w:color w:val="000000"/>
          <w:sz w:val="24"/>
          <w:szCs w:val="24"/>
          <w:shd w:val="clear" w:color="auto" w:fill="FFFFFF"/>
        </w:rPr>
        <w:t xml:space="preserve"> exclusively within Remisia</w:t>
      </w:r>
      <w:r w:rsidR="00FC5094">
        <w:rPr>
          <w:color w:val="000000"/>
          <w:sz w:val="24"/>
          <w:szCs w:val="24"/>
          <w:shd w:val="clear" w:color="auto" w:fill="FFFFFF"/>
        </w:rPr>
        <w:t>’</w:t>
      </w:r>
      <w:r w:rsidRPr="00BC53E8">
        <w:rPr>
          <w:color w:val="000000"/>
          <w:sz w:val="24"/>
          <w:szCs w:val="24"/>
          <w:shd w:val="clear" w:color="auto" w:fill="FFFFFF"/>
        </w:rPr>
        <w:t xml:space="preserve">s internal affairs. Remisia breached Article </w:t>
      </w:r>
      <w:r w:rsidR="00B02647">
        <w:rPr>
          <w:color w:val="000000"/>
          <w:sz w:val="24"/>
          <w:szCs w:val="24"/>
          <w:shd w:val="clear" w:color="auto" w:fill="FFFFFF"/>
        </w:rPr>
        <w:t>7</w:t>
      </w:r>
      <w:r w:rsidRPr="00BC53E8">
        <w:rPr>
          <w:color w:val="000000"/>
          <w:sz w:val="24"/>
          <w:szCs w:val="24"/>
          <w:shd w:val="clear" w:color="auto" w:fill="FFFFFF"/>
        </w:rPr>
        <w:t xml:space="preserve"> of the CPI by not guaranteeing Dr. Malex a visa and speedy travel assurances, privileges that he had as a UN expert, being the chief of</w:t>
      </w:r>
      <w:r w:rsidR="00FC5094">
        <w:rPr>
          <w:color w:val="000000"/>
          <w:sz w:val="24"/>
          <w:szCs w:val="24"/>
          <w:shd w:val="clear" w:color="auto" w:fill="FFFFFF"/>
        </w:rPr>
        <w:t xml:space="preserve"> </w:t>
      </w:r>
      <w:r w:rsidRPr="00BC53E8">
        <w:rPr>
          <w:color w:val="000000"/>
          <w:sz w:val="24"/>
          <w:szCs w:val="24"/>
          <w:shd w:val="clear" w:color="auto" w:fill="FFFFFF"/>
        </w:rPr>
        <w:t>UNIMR.</w:t>
      </w:r>
    </w:p>
    <w:p w14:paraId="4F3BEA2F" w14:textId="7D9DD367" w:rsidR="00BC53E8" w:rsidRPr="00BC53E8" w:rsidRDefault="00BC53E8" w:rsidP="00015CF2">
      <w:pPr>
        <w:widowControl/>
        <w:spacing w:before="240" w:after="240" w:line="480" w:lineRule="auto"/>
        <w:ind w:firstLine="720"/>
        <w:jc w:val="both"/>
        <w:rPr>
          <w:sz w:val="24"/>
          <w:szCs w:val="24"/>
        </w:rPr>
      </w:pPr>
      <w:r w:rsidRPr="00BC53E8">
        <w:rPr>
          <w:color w:val="000000"/>
          <w:sz w:val="24"/>
          <w:szCs w:val="24"/>
          <w:shd w:val="clear" w:color="auto" w:fill="FFFFFF"/>
        </w:rPr>
        <w:t>Remisia also violated Article 25 of the UN Charter</w:t>
      </w:r>
      <w:r w:rsidR="000B5DB7">
        <w:rPr>
          <w:color w:val="000000"/>
          <w:sz w:val="24"/>
          <w:szCs w:val="24"/>
          <w:shd w:val="clear" w:color="auto" w:fill="FFFFFF"/>
        </w:rPr>
        <w:fldChar w:fldCharType="begin"/>
      </w:r>
      <w:r w:rsidR="000B5DB7">
        <w:rPr>
          <w:color w:val="000000"/>
          <w:sz w:val="24"/>
          <w:szCs w:val="24"/>
          <w:shd w:val="clear" w:color="auto" w:fill="FFFFFF"/>
        </w:rPr>
        <w:instrText xml:space="preserve"> TA \s "UN Charter" </w:instrText>
      </w:r>
      <w:r w:rsidR="000B5DB7">
        <w:rPr>
          <w:color w:val="000000"/>
          <w:sz w:val="24"/>
          <w:szCs w:val="24"/>
          <w:shd w:val="clear" w:color="auto" w:fill="FFFFFF"/>
        </w:rPr>
        <w:fldChar w:fldCharType="end"/>
      </w:r>
      <w:r w:rsidRPr="00BC53E8">
        <w:rPr>
          <w:color w:val="000000"/>
          <w:sz w:val="24"/>
          <w:szCs w:val="24"/>
          <w:shd w:val="clear" w:color="auto" w:fill="FFFFFF"/>
        </w:rPr>
        <w:t xml:space="preserve"> by not complying with Resolution 99997. The UNSC is authorized to investigate the situation of the Sterren Forty by virtue of Article 34 of the UN Charter, and its authority must be respected by Remisia as a UN member. Further, the application of the VCLT interpretation rules: the ordinary meaning of the operative verbs</w:t>
      </w:r>
      <w:r w:rsidR="00B02647">
        <w:rPr>
          <w:color w:val="000000"/>
          <w:sz w:val="24"/>
          <w:szCs w:val="24"/>
          <w:shd w:val="clear" w:color="auto" w:fill="FFFFFF"/>
        </w:rPr>
        <w:t>,</w:t>
      </w:r>
      <w:r w:rsidRPr="00BC53E8">
        <w:rPr>
          <w:color w:val="000000"/>
          <w:sz w:val="24"/>
          <w:szCs w:val="24"/>
          <w:shd w:val="clear" w:color="auto" w:fill="FFFFFF"/>
        </w:rPr>
        <w:t xml:space="preserve"> the object and purpose, and the practice after the adoption of UNSC Resolution 99997, illustrate Remisia’s obligation to cooperate fully with UNIMR. Thus, Remisia was obliged to allow the entry of Dr. Malex.</w:t>
      </w:r>
    </w:p>
    <w:p w14:paraId="6034A8B4" w14:textId="77777777" w:rsidR="008C2177" w:rsidRDefault="008C2177" w:rsidP="00015CF2">
      <w:pPr>
        <w:spacing w:before="61" w:line="480" w:lineRule="auto"/>
        <w:ind w:right="116"/>
        <w:jc w:val="both"/>
        <w:rPr>
          <w:sz w:val="24"/>
          <w:szCs w:val="24"/>
        </w:rPr>
      </w:pPr>
    </w:p>
    <w:p w14:paraId="511E6F29" w14:textId="77777777" w:rsidR="00CD482E" w:rsidRDefault="00CD482E" w:rsidP="00F62BB5">
      <w:pPr>
        <w:spacing w:before="61" w:line="480" w:lineRule="auto"/>
        <w:ind w:right="116"/>
        <w:jc w:val="both"/>
        <w:rPr>
          <w:sz w:val="24"/>
          <w:szCs w:val="24"/>
        </w:rPr>
        <w:sectPr w:rsidR="00CD482E" w:rsidSect="00191BE1">
          <w:footerReference w:type="default" r:id="rId11"/>
          <w:pgSz w:w="11910" w:h="16840"/>
          <w:pgMar w:top="1360" w:right="1320" w:bottom="1000" w:left="1340" w:header="0" w:footer="799" w:gutter="0"/>
          <w:pgNumType w:fmt="upperRoman" w:start="1"/>
          <w:cols w:space="720"/>
          <w:docGrid w:linePitch="299"/>
        </w:sectPr>
      </w:pPr>
    </w:p>
    <w:p w14:paraId="667248BD" w14:textId="77777777" w:rsidR="008C2177" w:rsidRPr="000D480A" w:rsidRDefault="00000000" w:rsidP="00015CF2">
      <w:pPr>
        <w:pStyle w:val="Ttulo1"/>
        <w:spacing w:before="240" w:after="240" w:line="480" w:lineRule="auto"/>
        <w:rPr>
          <w:highlight w:val="white"/>
          <w:u w:val="single"/>
        </w:rPr>
      </w:pPr>
      <w:bookmarkStart w:id="7" w:name="_Toc155961549"/>
      <w:r w:rsidRPr="000D480A">
        <w:rPr>
          <w:highlight w:val="white"/>
          <w:u w:val="single"/>
        </w:rPr>
        <w:lastRenderedPageBreak/>
        <w:t>PLEADINGS</w:t>
      </w:r>
      <w:bookmarkEnd w:id="7"/>
    </w:p>
    <w:p w14:paraId="495D5E51" w14:textId="77777777" w:rsidR="008C2177" w:rsidRPr="00892401" w:rsidRDefault="00000000" w:rsidP="00015CF2">
      <w:pPr>
        <w:pStyle w:val="Ttulo2"/>
        <w:spacing w:before="240" w:line="480" w:lineRule="auto"/>
        <w:jc w:val="both"/>
        <w:rPr>
          <w:sz w:val="24"/>
          <w:szCs w:val="24"/>
          <w:highlight w:val="white"/>
        </w:rPr>
      </w:pPr>
      <w:bookmarkStart w:id="8" w:name="_Toc155961550"/>
      <w:r w:rsidRPr="00892401">
        <w:rPr>
          <w:sz w:val="24"/>
          <w:szCs w:val="24"/>
          <w:highlight w:val="white"/>
        </w:rPr>
        <w:t>I. ANTRANO HAS STANDING TO BRING THE DISPUTE CONCERNING REMISIA’S DEPRIVATION OF NATIONALITY OF ITS CITIZENS BEFORE THE COURT</w:t>
      </w:r>
      <w:bookmarkEnd w:id="8"/>
    </w:p>
    <w:p w14:paraId="1DF8133C" w14:textId="72F2CDE8" w:rsidR="008C2177" w:rsidRDefault="00000000" w:rsidP="00015CF2">
      <w:pPr>
        <w:spacing w:before="240" w:line="480" w:lineRule="auto"/>
        <w:jc w:val="both"/>
        <w:rPr>
          <w:sz w:val="24"/>
          <w:szCs w:val="24"/>
          <w:highlight w:val="white"/>
        </w:rPr>
      </w:pPr>
      <w:r>
        <w:rPr>
          <w:sz w:val="24"/>
          <w:szCs w:val="24"/>
          <w:highlight w:val="white"/>
        </w:rPr>
        <w:t>The Sterren Forty are victims of Remisia’s abuse of its sovereign prerogative over nationality.</w:t>
      </w:r>
      <w:r>
        <w:rPr>
          <w:sz w:val="24"/>
          <w:szCs w:val="24"/>
          <w:highlight w:val="white"/>
          <w:vertAlign w:val="superscript"/>
        </w:rPr>
        <w:footnoteReference w:id="1"/>
      </w:r>
      <w:r>
        <w:rPr>
          <w:sz w:val="24"/>
          <w:szCs w:val="24"/>
          <w:highlight w:val="white"/>
        </w:rPr>
        <w:t xml:space="preserve"> After </w:t>
      </w:r>
      <w:r w:rsidR="00515C91">
        <w:rPr>
          <w:sz w:val="24"/>
          <w:szCs w:val="24"/>
          <w:highlight w:val="white"/>
        </w:rPr>
        <w:t xml:space="preserve">merely </w:t>
      </w:r>
      <w:r>
        <w:rPr>
          <w:sz w:val="24"/>
          <w:szCs w:val="24"/>
          <w:highlight w:val="white"/>
        </w:rPr>
        <w:t xml:space="preserve">expressing dissent against the </w:t>
      </w:r>
      <w:r w:rsidR="00515C91">
        <w:rPr>
          <w:sz w:val="24"/>
          <w:szCs w:val="24"/>
          <w:highlight w:val="white"/>
        </w:rPr>
        <w:t xml:space="preserve">governamental </w:t>
      </w:r>
      <w:r>
        <w:rPr>
          <w:sz w:val="24"/>
          <w:szCs w:val="24"/>
          <w:highlight w:val="white"/>
        </w:rPr>
        <w:t>decisions of Remisia’s Queen, the Sterren Forty were rendered stateless, sentenced to imprisonment</w:t>
      </w:r>
      <w:r w:rsidR="00B02647">
        <w:rPr>
          <w:sz w:val="24"/>
          <w:szCs w:val="24"/>
          <w:highlight w:val="white"/>
        </w:rPr>
        <w:t>,</w:t>
      </w:r>
      <w:r>
        <w:rPr>
          <w:sz w:val="24"/>
          <w:szCs w:val="24"/>
          <w:highlight w:val="white"/>
        </w:rPr>
        <w:t xml:space="preserve"> and faced potential expulsion from Remisia,</w:t>
      </w:r>
      <w:r>
        <w:rPr>
          <w:sz w:val="24"/>
          <w:szCs w:val="24"/>
          <w:highlight w:val="white"/>
          <w:vertAlign w:val="superscript"/>
        </w:rPr>
        <w:footnoteReference w:id="2"/>
      </w:r>
      <w:r>
        <w:rPr>
          <w:sz w:val="24"/>
          <w:szCs w:val="24"/>
          <w:highlight w:val="white"/>
        </w:rPr>
        <w:t xml:space="preserve"> their country of birth and residence. Antrano claims that this treatment </w:t>
      </w:r>
      <w:r w:rsidR="00771D75">
        <w:rPr>
          <w:sz w:val="24"/>
          <w:szCs w:val="24"/>
          <w:highlight w:val="white"/>
        </w:rPr>
        <w:t>of</w:t>
      </w:r>
      <w:r>
        <w:rPr>
          <w:sz w:val="24"/>
          <w:szCs w:val="24"/>
          <w:highlight w:val="white"/>
        </w:rPr>
        <w:t xml:space="preserve"> the Sterren Forty violated international law.</w:t>
      </w:r>
      <w:r>
        <w:rPr>
          <w:sz w:val="24"/>
          <w:szCs w:val="24"/>
          <w:highlight w:val="white"/>
          <w:vertAlign w:val="superscript"/>
        </w:rPr>
        <w:footnoteReference w:id="3"/>
      </w:r>
      <w:r>
        <w:rPr>
          <w:sz w:val="24"/>
          <w:szCs w:val="24"/>
          <w:highlight w:val="white"/>
        </w:rPr>
        <w:t xml:space="preserve"> For this purpose, Antrano bases its standing on </w:t>
      </w:r>
      <w:r>
        <w:rPr>
          <w:b/>
          <w:sz w:val="24"/>
          <w:szCs w:val="24"/>
        </w:rPr>
        <w:t xml:space="preserve">(A) </w:t>
      </w:r>
      <w:r>
        <w:rPr>
          <w:sz w:val="24"/>
          <w:szCs w:val="24"/>
        </w:rPr>
        <w:t xml:space="preserve">the </w:t>
      </w:r>
      <w:r>
        <w:rPr>
          <w:i/>
          <w:sz w:val="24"/>
          <w:szCs w:val="24"/>
        </w:rPr>
        <w:t>Erga Omnes Partes</w:t>
      </w:r>
      <w:r>
        <w:rPr>
          <w:sz w:val="24"/>
          <w:szCs w:val="24"/>
        </w:rPr>
        <w:t xml:space="preserve"> obligations under the Convention on the Reduction of Statelessness (‘CRS’), the International Covenant on Civil and Political Rights (‘ICCPR</w:t>
      </w:r>
      <w:r w:rsidR="000E212C">
        <w:rPr>
          <w:sz w:val="24"/>
          <w:szCs w:val="24"/>
        </w:rPr>
        <w:fldChar w:fldCharType="begin"/>
      </w:r>
      <w:r w:rsidR="000E212C">
        <w:rPr>
          <w:sz w:val="24"/>
          <w:szCs w:val="24"/>
        </w:rPr>
        <w:instrText xml:space="preserve"> TA \s "ICCPR" </w:instrText>
      </w:r>
      <w:r w:rsidR="000E212C">
        <w:rPr>
          <w:sz w:val="24"/>
          <w:szCs w:val="24"/>
        </w:rPr>
        <w:fldChar w:fldCharType="end"/>
      </w:r>
      <w:r>
        <w:rPr>
          <w:sz w:val="24"/>
          <w:szCs w:val="24"/>
        </w:rPr>
        <w:t xml:space="preserve">’) violated by Remisia and </w:t>
      </w:r>
      <w:r>
        <w:rPr>
          <w:b/>
          <w:sz w:val="24"/>
          <w:szCs w:val="24"/>
        </w:rPr>
        <w:t>(B)</w:t>
      </w:r>
      <w:r>
        <w:rPr>
          <w:sz w:val="24"/>
          <w:szCs w:val="24"/>
        </w:rPr>
        <w:t xml:space="preserve"> the </w:t>
      </w:r>
      <w:r>
        <w:rPr>
          <w:i/>
          <w:sz w:val="24"/>
          <w:szCs w:val="24"/>
        </w:rPr>
        <w:t xml:space="preserve">Erga Omnes </w:t>
      </w:r>
      <w:r>
        <w:rPr>
          <w:sz w:val="24"/>
          <w:szCs w:val="24"/>
        </w:rPr>
        <w:t xml:space="preserve">obligation to protect the basic human right to nationality. In addition, </w:t>
      </w:r>
      <w:r>
        <w:rPr>
          <w:b/>
          <w:sz w:val="24"/>
          <w:szCs w:val="24"/>
        </w:rPr>
        <w:t>(C)</w:t>
      </w:r>
      <w:r>
        <w:rPr>
          <w:sz w:val="24"/>
          <w:szCs w:val="24"/>
        </w:rPr>
        <w:t xml:space="preserve"> Antrano’s standing is not barred by the </w:t>
      </w:r>
      <w:r>
        <w:rPr>
          <w:sz w:val="24"/>
          <w:szCs w:val="24"/>
          <w:highlight w:val="white"/>
        </w:rPr>
        <w:t>Nationality of the Claimant rule.</w:t>
      </w:r>
    </w:p>
    <w:p w14:paraId="5106950D" w14:textId="6E6617C3" w:rsidR="008C2177" w:rsidRDefault="00000000" w:rsidP="00015CF2">
      <w:pPr>
        <w:pStyle w:val="Ttulo3"/>
        <w:numPr>
          <w:ilvl w:val="0"/>
          <w:numId w:val="26"/>
        </w:numPr>
        <w:spacing w:before="240" w:line="480" w:lineRule="auto"/>
        <w:jc w:val="both"/>
      </w:pPr>
      <w:bookmarkStart w:id="9" w:name="_Toc155961551"/>
      <w:r w:rsidRPr="00892401">
        <w:rPr>
          <w:sz w:val="24"/>
          <w:szCs w:val="24"/>
        </w:rPr>
        <w:t xml:space="preserve">Antrano has standing based on </w:t>
      </w:r>
      <w:r w:rsidRPr="00892401">
        <w:rPr>
          <w:i/>
          <w:sz w:val="24"/>
          <w:szCs w:val="24"/>
        </w:rPr>
        <w:t>Erga Omnes Partes</w:t>
      </w:r>
      <w:r w:rsidRPr="00892401">
        <w:rPr>
          <w:sz w:val="24"/>
          <w:szCs w:val="24"/>
        </w:rPr>
        <w:t xml:space="preserve"> obligations violated by Remisia</w:t>
      </w:r>
      <w:bookmarkEnd w:id="9"/>
    </w:p>
    <w:p w14:paraId="0490ECAB" w14:textId="6BC839B0" w:rsidR="008C2177" w:rsidRDefault="00000000" w:rsidP="00015CF2">
      <w:pPr>
        <w:spacing w:before="240" w:after="80" w:line="480" w:lineRule="auto"/>
        <w:ind w:firstLine="720"/>
        <w:jc w:val="both"/>
        <w:rPr>
          <w:sz w:val="24"/>
          <w:szCs w:val="24"/>
        </w:rPr>
      </w:pPr>
      <w:r>
        <w:rPr>
          <w:sz w:val="24"/>
          <w:szCs w:val="24"/>
          <w:highlight w:val="white"/>
        </w:rPr>
        <w:t xml:space="preserve">This Court has accepted standing based on </w:t>
      </w:r>
      <w:r>
        <w:rPr>
          <w:i/>
          <w:sz w:val="24"/>
          <w:szCs w:val="24"/>
          <w:highlight w:val="white"/>
        </w:rPr>
        <w:t>Erga Omnes Partes</w:t>
      </w:r>
      <w:r>
        <w:rPr>
          <w:sz w:val="24"/>
          <w:szCs w:val="24"/>
          <w:highlight w:val="white"/>
        </w:rPr>
        <w:t xml:space="preserve"> obligations</w:t>
      </w:r>
      <w:r>
        <w:rPr>
          <w:sz w:val="24"/>
          <w:szCs w:val="24"/>
        </w:rPr>
        <w:t xml:space="preserve"> established for the protection of a collective interest.</w:t>
      </w:r>
      <w:r>
        <w:rPr>
          <w:sz w:val="24"/>
          <w:szCs w:val="24"/>
          <w:vertAlign w:val="superscript"/>
        </w:rPr>
        <w:footnoteReference w:id="4"/>
      </w:r>
      <w:r>
        <w:rPr>
          <w:sz w:val="24"/>
          <w:szCs w:val="24"/>
        </w:rPr>
        <w:t xml:space="preserve">  In this regard, Antrano has standing based on </w:t>
      </w:r>
      <w:r>
        <w:rPr>
          <w:i/>
          <w:sz w:val="24"/>
          <w:szCs w:val="24"/>
        </w:rPr>
        <w:t>Erga Omnes Partes</w:t>
      </w:r>
      <w:r>
        <w:rPr>
          <w:sz w:val="24"/>
          <w:szCs w:val="24"/>
        </w:rPr>
        <w:t xml:space="preserve"> obligations violated by Remisia contained in </w:t>
      </w:r>
      <w:r>
        <w:rPr>
          <w:b/>
          <w:sz w:val="24"/>
          <w:szCs w:val="24"/>
        </w:rPr>
        <w:t xml:space="preserve">(1) </w:t>
      </w:r>
      <w:r w:rsidR="007C1D83" w:rsidRPr="00515C91">
        <w:rPr>
          <w:bCs/>
          <w:sz w:val="24"/>
          <w:szCs w:val="24"/>
        </w:rPr>
        <w:t>the</w:t>
      </w:r>
      <w:r w:rsidR="007C1D83">
        <w:rPr>
          <w:b/>
          <w:sz w:val="24"/>
          <w:szCs w:val="24"/>
        </w:rPr>
        <w:t xml:space="preserve"> </w:t>
      </w:r>
      <w:r>
        <w:rPr>
          <w:sz w:val="24"/>
          <w:szCs w:val="24"/>
        </w:rPr>
        <w:t xml:space="preserve">CRS and </w:t>
      </w:r>
      <w:r>
        <w:rPr>
          <w:b/>
          <w:sz w:val="24"/>
          <w:szCs w:val="24"/>
        </w:rPr>
        <w:t>(2)</w:t>
      </w:r>
      <w:r>
        <w:rPr>
          <w:sz w:val="24"/>
          <w:szCs w:val="24"/>
        </w:rPr>
        <w:t xml:space="preserve"> </w:t>
      </w:r>
      <w:r w:rsidR="007C1D83">
        <w:rPr>
          <w:sz w:val="24"/>
          <w:szCs w:val="24"/>
        </w:rPr>
        <w:t xml:space="preserve">the </w:t>
      </w:r>
      <w:r>
        <w:rPr>
          <w:sz w:val="24"/>
          <w:szCs w:val="24"/>
        </w:rPr>
        <w:t>ICCPR</w:t>
      </w:r>
      <w:r w:rsidR="000E212C">
        <w:rPr>
          <w:sz w:val="24"/>
          <w:szCs w:val="24"/>
        </w:rPr>
        <w:fldChar w:fldCharType="begin"/>
      </w:r>
      <w:r w:rsidR="000E212C">
        <w:rPr>
          <w:sz w:val="24"/>
          <w:szCs w:val="24"/>
        </w:rPr>
        <w:instrText xml:space="preserve"> TA \s "ICCPR" </w:instrText>
      </w:r>
      <w:r w:rsidR="000E212C">
        <w:rPr>
          <w:sz w:val="24"/>
          <w:szCs w:val="24"/>
        </w:rPr>
        <w:fldChar w:fldCharType="end"/>
      </w:r>
      <w:r>
        <w:rPr>
          <w:sz w:val="24"/>
          <w:szCs w:val="24"/>
        </w:rPr>
        <w:t>.</w:t>
      </w:r>
    </w:p>
    <w:p w14:paraId="46D40089" w14:textId="1BCF2591" w:rsidR="008C2177" w:rsidRPr="00420BF9" w:rsidRDefault="00000000" w:rsidP="00015CF2">
      <w:pPr>
        <w:pStyle w:val="Ttulo4"/>
        <w:numPr>
          <w:ilvl w:val="0"/>
          <w:numId w:val="6"/>
        </w:numPr>
        <w:spacing w:line="480" w:lineRule="auto"/>
        <w:jc w:val="both"/>
        <w:rPr>
          <w:b w:val="0"/>
          <w:bCs/>
          <w:u w:val="single"/>
        </w:rPr>
      </w:pPr>
      <w:bookmarkStart w:id="10" w:name="_Toc155961552"/>
      <w:r w:rsidRPr="00420BF9">
        <w:rPr>
          <w:b w:val="0"/>
          <w:bCs/>
          <w:u w:val="single"/>
        </w:rPr>
        <w:lastRenderedPageBreak/>
        <w:t xml:space="preserve">Antrano has </w:t>
      </w:r>
      <w:r w:rsidRPr="00420BF9">
        <w:rPr>
          <w:b w:val="0"/>
          <w:bCs/>
          <w:highlight w:val="white"/>
          <w:u w:val="single"/>
        </w:rPr>
        <w:t xml:space="preserve">standing </w:t>
      </w:r>
      <w:r w:rsidRPr="00420BF9">
        <w:rPr>
          <w:b w:val="0"/>
          <w:bCs/>
          <w:u w:val="single"/>
        </w:rPr>
        <w:t>under the CRS</w:t>
      </w:r>
      <w:bookmarkEnd w:id="10"/>
    </w:p>
    <w:p w14:paraId="4E256C3F" w14:textId="74E0DDE0" w:rsidR="008C2177" w:rsidRPr="00420BF9" w:rsidRDefault="00000000" w:rsidP="00015CF2">
      <w:pPr>
        <w:pStyle w:val="Ttulo5"/>
        <w:numPr>
          <w:ilvl w:val="1"/>
          <w:numId w:val="6"/>
        </w:numPr>
        <w:spacing w:before="240" w:line="480" w:lineRule="auto"/>
        <w:jc w:val="both"/>
        <w:rPr>
          <w:b w:val="0"/>
          <w:bCs/>
          <w:i/>
          <w:iCs/>
          <w:sz w:val="24"/>
          <w:szCs w:val="24"/>
        </w:rPr>
      </w:pPr>
      <w:bookmarkStart w:id="11" w:name="_Toc155961553"/>
      <w:r w:rsidRPr="00420BF9">
        <w:rPr>
          <w:b w:val="0"/>
          <w:bCs/>
          <w:i/>
          <w:iCs/>
          <w:sz w:val="24"/>
          <w:szCs w:val="24"/>
        </w:rPr>
        <w:t>Antrano’s standing stems from the Erga Omnes Partes character of the obligations violated by Remisia under the CRS</w:t>
      </w:r>
      <w:bookmarkEnd w:id="11"/>
    </w:p>
    <w:p w14:paraId="0CB69CFC" w14:textId="2604BC33" w:rsidR="008C2177" w:rsidRDefault="00000000" w:rsidP="00015CF2">
      <w:pPr>
        <w:spacing w:before="240" w:after="80" w:line="480" w:lineRule="auto"/>
        <w:ind w:firstLine="720"/>
        <w:jc w:val="both"/>
        <w:rPr>
          <w:sz w:val="24"/>
          <w:szCs w:val="24"/>
          <w:highlight w:val="white"/>
        </w:rPr>
      </w:pPr>
      <w:r>
        <w:rPr>
          <w:sz w:val="24"/>
          <w:szCs w:val="24"/>
        </w:rPr>
        <w:t xml:space="preserve">Antrano </w:t>
      </w:r>
      <w:r w:rsidR="00CC5754">
        <w:rPr>
          <w:sz w:val="24"/>
          <w:szCs w:val="24"/>
        </w:rPr>
        <w:t>can</w:t>
      </w:r>
      <w:r>
        <w:rPr>
          <w:sz w:val="24"/>
          <w:szCs w:val="24"/>
        </w:rPr>
        <w:t xml:space="preserve"> invoke the responsibility of Remisia for violating its </w:t>
      </w:r>
      <w:r>
        <w:rPr>
          <w:i/>
          <w:sz w:val="24"/>
          <w:szCs w:val="24"/>
          <w:highlight w:val="white"/>
        </w:rPr>
        <w:t>Erga Omnes Partes</w:t>
      </w:r>
      <w:r w:rsidR="007C1D83">
        <w:rPr>
          <w:i/>
          <w:sz w:val="24"/>
          <w:szCs w:val="24"/>
        </w:rPr>
        <w:t xml:space="preserve"> </w:t>
      </w:r>
      <w:r w:rsidR="007C1D83" w:rsidRPr="00515C91">
        <w:rPr>
          <w:iCs/>
          <w:sz w:val="24"/>
          <w:szCs w:val="24"/>
        </w:rPr>
        <w:t>obligations</w:t>
      </w:r>
      <w:r>
        <w:rPr>
          <w:sz w:val="24"/>
          <w:szCs w:val="24"/>
        </w:rPr>
        <w:t>.</w:t>
      </w:r>
      <w:r>
        <w:rPr>
          <w:sz w:val="24"/>
          <w:szCs w:val="24"/>
          <w:vertAlign w:val="superscript"/>
        </w:rPr>
        <w:footnoteReference w:id="5"/>
      </w:r>
      <w:r>
        <w:rPr>
          <w:sz w:val="24"/>
          <w:szCs w:val="24"/>
        </w:rPr>
        <w:t xml:space="preserve"> These obligations are enshrined in multilateral treaties designed to protect a collective interest, rather than individual State interests.</w:t>
      </w:r>
      <w:r>
        <w:rPr>
          <w:sz w:val="24"/>
          <w:szCs w:val="24"/>
          <w:vertAlign w:val="superscript"/>
        </w:rPr>
        <w:footnoteReference w:id="6"/>
      </w:r>
      <w:r>
        <w:rPr>
          <w:sz w:val="24"/>
          <w:szCs w:val="24"/>
        </w:rPr>
        <w:t xml:space="preserve"> In that sense, the obligations central to safeguarding the collective interest pursued by the treaty have </w:t>
      </w:r>
      <w:r>
        <w:rPr>
          <w:i/>
          <w:sz w:val="24"/>
          <w:szCs w:val="24"/>
          <w:highlight w:val="white"/>
        </w:rPr>
        <w:t>Erga Omnes Partes</w:t>
      </w:r>
      <w:r>
        <w:rPr>
          <w:sz w:val="24"/>
          <w:szCs w:val="24"/>
        </w:rPr>
        <w:t xml:space="preserve"> character,</w:t>
      </w:r>
      <w:r>
        <w:rPr>
          <w:sz w:val="24"/>
          <w:szCs w:val="24"/>
          <w:vertAlign w:val="superscript"/>
        </w:rPr>
        <w:footnoteReference w:id="7"/>
      </w:r>
      <w:r>
        <w:rPr>
          <w:sz w:val="24"/>
          <w:szCs w:val="24"/>
        </w:rPr>
        <w:t xml:space="preserve"> thereby being owed by each State party to all contracting States.</w:t>
      </w:r>
      <w:r>
        <w:rPr>
          <w:sz w:val="24"/>
          <w:szCs w:val="24"/>
          <w:vertAlign w:val="superscript"/>
        </w:rPr>
        <w:footnoteReference w:id="8"/>
      </w:r>
      <w:r>
        <w:rPr>
          <w:sz w:val="24"/>
          <w:szCs w:val="24"/>
        </w:rPr>
        <w:t xml:space="preserve"> </w:t>
      </w:r>
      <w:r>
        <w:rPr>
          <w:sz w:val="24"/>
          <w:szCs w:val="24"/>
          <w:highlight w:val="white"/>
        </w:rPr>
        <w:t xml:space="preserve">This entitles any State party to claim the </w:t>
      </w:r>
      <w:r>
        <w:rPr>
          <w:i/>
          <w:sz w:val="24"/>
          <w:szCs w:val="24"/>
          <w:highlight w:val="white"/>
        </w:rPr>
        <w:t>Erga Omnes Partes</w:t>
      </w:r>
      <w:r>
        <w:rPr>
          <w:sz w:val="24"/>
          <w:szCs w:val="24"/>
          <w:highlight w:val="white"/>
        </w:rPr>
        <w:t xml:space="preserve"> </w:t>
      </w:r>
      <w:r w:rsidR="007C1D83">
        <w:rPr>
          <w:sz w:val="24"/>
          <w:szCs w:val="24"/>
          <w:highlight w:val="white"/>
        </w:rPr>
        <w:t xml:space="preserve">obligations </w:t>
      </w:r>
      <w:r>
        <w:rPr>
          <w:sz w:val="24"/>
          <w:szCs w:val="24"/>
          <w:highlight w:val="white"/>
        </w:rPr>
        <w:t>violated by another contracting State.</w:t>
      </w:r>
      <w:r>
        <w:rPr>
          <w:sz w:val="24"/>
          <w:szCs w:val="24"/>
          <w:highlight w:val="white"/>
          <w:vertAlign w:val="superscript"/>
        </w:rPr>
        <w:footnoteReference w:id="9"/>
      </w:r>
      <w:r>
        <w:rPr>
          <w:sz w:val="24"/>
          <w:szCs w:val="24"/>
          <w:highlight w:val="white"/>
        </w:rPr>
        <w:t xml:space="preserve"> </w:t>
      </w:r>
    </w:p>
    <w:p w14:paraId="54B118D5" w14:textId="71ACCF09" w:rsidR="008C2177" w:rsidRDefault="00000000" w:rsidP="00015CF2">
      <w:pPr>
        <w:spacing w:before="240" w:after="80" w:line="480" w:lineRule="auto"/>
        <w:ind w:firstLine="720"/>
        <w:jc w:val="both"/>
        <w:rPr>
          <w:sz w:val="24"/>
          <w:szCs w:val="24"/>
        </w:rPr>
      </w:pPr>
      <w:r>
        <w:rPr>
          <w:sz w:val="24"/>
          <w:szCs w:val="24"/>
        </w:rPr>
        <w:t>As reflected in its preamble,</w:t>
      </w:r>
      <w:r>
        <w:rPr>
          <w:sz w:val="24"/>
          <w:szCs w:val="24"/>
          <w:vertAlign w:val="superscript"/>
        </w:rPr>
        <w:footnoteReference w:id="10"/>
      </w:r>
      <w:r>
        <w:rPr>
          <w:sz w:val="24"/>
          <w:szCs w:val="24"/>
        </w:rPr>
        <w:t xml:space="preserve"> the collective interest pursued by the CRS is to reduce statelessness. The obligations contained in Articles 8(1) and 9 are central to safeguarding that </w:t>
      </w:r>
      <w:r>
        <w:rPr>
          <w:sz w:val="24"/>
          <w:szCs w:val="24"/>
        </w:rPr>
        <w:lastRenderedPageBreak/>
        <w:t xml:space="preserve">collective interest. Article 8(1) prohibits States from rendering </w:t>
      </w:r>
      <w:r w:rsidR="00150704">
        <w:rPr>
          <w:sz w:val="24"/>
          <w:szCs w:val="24"/>
        </w:rPr>
        <w:t xml:space="preserve">their </w:t>
      </w:r>
      <w:r>
        <w:rPr>
          <w:sz w:val="24"/>
          <w:szCs w:val="24"/>
        </w:rPr>
        <w:t>nationals stateless</w:t>
      </w:r>
      <w:r>
        <w:rPr>
          <w:sz w:val="24"/>
          <w:szCs w:val="24"/>
          <w:vertAlign w:val="superscript"/>
        </w:rPr>
        <w:footnoteReference w:id="11"/>
      </w:r>
      <w:r>
        <w:rPr>
          <w:sz w:val="24"/>
          <w:szCs w:val="24"/>
        </w:rPr>
        <w:t xml:space="preserve"> while Article 9 forbids depriving nationality based on political grounds.</w:t>
      </w:r>
      <w:r>
        <w:rPr>
          <w:sz w:val="24"/>
          <w:szCs w:val="24"/>
          <w:vertAlign w:val="superscript"/>
        </w:rPr>
        <w:footnoteReference w:id="12"/>
      </w:r>
      <w:r>
        <w:rPr>
          <w:sz w:val="24"/>
          <w:szCs w:val="24"/>
        </w:rPr>
        <w:t xml:space="preserve"> Therefore, these obligations are </w:t>
      </w:r>
      <w:r>
        <w:rPr>
          <w:i/>
          <w:sz w:val="24"/>
          <w:szCs w:val="24"/>
          <w:highlight w:val="white"/>
        </w:rPr>
        <w:t>Erga Omnes Partes</w:t>
      </w:r>
      <w:r>
        <w:rPr>
          <w:sz w:val="24"/>
          <w:szCs w:val="24"/>
        </w:rPr>
        <w:t xml:space="preserve">. The fact that the </w:t>
      </w:r>
      <w:r>
        <w:rPr>
          <w:i/>
          <w:sz w:val="24"/>
          <w:szCs w:val="24"/>
          <w:highlight w:val="white"/>
        </w:rPr>
        <w:t>travaux préparatoires</w:t>
      </w:r>
      <w:r>
        <w:rPr>
          <w:sz w:val="24"/>
          <w:szCs w:val="24"/>
          <w:highlight w:val="white"/>
          <w:vertAlign w:val="superscript"/>
        </w:rPr>
        <w:footnoteReference w:id="13"/>
      </w:r>
      <w:r>
        <w:rPr>
          <w:sz w:val="24"/>
          <w:szCs w:val="24"/>
        </w:rPr>
        <w:t xml:space="preserve"> affirm the shared commitment among contracting States, not driven by self-interest but by the collective interest of reducing statelessness worldwide supports this conclusion. </w:t>
      </w:r>
    </w:p>
    <w:p w14:paraId="29128071" w14:textId="77777777" w:rsidR="008C2177" w:rsidRDefault="00000000" w:rsidP="00015CF2">
      <w:pPr>
        <w:widowControl/>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80" w:line="480" w:lineRule="auto"/>
        <w:ind w:firstLine="720"/>
        <w:jc w:val="both"/>
        <w:rPr>
          <w:sz w:val="24"/>
          <w:szCs w:val="24"/>
          <w:highlight w:val="white"/>
        </w:rPr>
      </w:pPr>
      <w:r>
        <w:rPr>
          <w:sz w:val="24"/>
          <w:szCs w:val="24"/>
          <w:highlight w:val="white"/>
        </w:rPr>
        <w:t xml:space="preserve">Thereby, Antrano has standing to invoke the responsibility of Remisia for violating those obligations by rendering the Sterren Forty stateless. </w:t>
      </w:r>
    </w:p>
    <w:p w14:paraId="45D63974" w14:textId="0D8F856F" w:rsidR="008C2177" w:rsidRPr="00420BF9" w:rsidRDefault="00000000" w:rsidP="00015CF2">
      <w:pPr>
        <w:pStyle w:val="Ttulo5"/>
        <w:numPr>
          <w:ilvl w:val="1"/>
          <w:numId w:val="6"/>
        </w:numPr>
        <w:spacing w:before="240" w:line="480" w:lineRule="auto"/>
        <w:jc w:val="both"/>
        <w:rPr>
          <w:b w:val="0"/>
          <w:bCs/>
          <w:i/>
          <w:iCs/>
          <w:sz w:val="24"/>
          <w:szCs w:val="24"/>
        </w:rPr>
      </w:pPr>
      <w:bookmarkStart w:id="12" w:name="_Toc155961554"/>
      <w:r w:rsidRPr="00420BF9">
        <w:rPr>
          <w:b w:val="0"/>
          <w:bCs/>
          <w:i/>
          <w:iCs/>
          <w:sz w:val="24"/>
          <w:szCs w:val="24"/>
        </w:rPr>
        <w:t>Antrano can submit its dispute with Remisia under Article 14 of the CRS</w:t>
      </w:r>
      <w:bookmarkEnd w:id="12"/>
    </w:p>
    <w:p w14:paraId="4666FF24" w14:textId="55FE9BDC" w:rsidR="008C2177" w:rsidRDefault="00000000" w:rsidP="00015CF2">
      <w:pPr>
        <w:spacing w:before="240" w:after="80" w:line="480" w:lineRule="auto"/>
        <w:ind w:firstLine="720"/>
        <w:jc w:val="both"/>
        <w:rPr>
          <w:sz w:val="24"/>
          <w:szCs w:val="24"/>
        </w:rPr>
      </w:pPr>
      <w:r>
        <w:rPr>
          <w:sz w:val="24"/>
          <w:szCs w:val="24"/>
        </w:rPr>
        <w:t xml:space="preserve">Article 14 of the CRS allows all State parties to submit their disputes </w:t>
      </w:r>
      <w:r w:rsidR="00CC5754">
        <w:rPr>
          <w:sz w:val="24"/>
          <w:szCs w:val="24"/>
        </w:rPr>
        <w:t xml:space="preserve">concerning the application of the treaty </w:t>
      </w:r>
      <w:r>
        <w:rPr>
          <w:sz w:val="24"/>
          <w:szCs w:val="24"/>
        </w:rPr>
        <w:t>with another contracting State before this Court.</w:t>
      </w:r>
      <w:r>
        <w:rPr>
          <w:sz w:val="24"/>
          <w:szCs w:val="24"/>
          <w:vertAlign w:val="superscript"/>
        </w:rPr>
        <w:footnoteReference w:id="14"/>
      </w:r>
      <w:r>
        <w:rPr>
          <w:sz w:val="24"/>
          <w:szCs w:val="24"/>
        </w:rPr>
        <w:t xml:space="preserve"> This provision ensures the enforceability of the </w:t>
      </w:r>
      <w:r>
        <w:rPr>
          <w:i/>
          <w:sz w:val="24"/>
          <w:szCs w:val="24"/>
        </w:rPr>
        <w:t xml:space="preserve">Erga Omnes Partes </w:t>
      </w:r>
      <w:r>
        <w:rPr>
          <w:sz w:val="24"/>
          <w:szCs w:val="24"/>
        </w:rPr>
        <w:t>obligations contained in the treaty</w:t>
      </w:r>
      <w:r>
        <w:rPr>
          <w:sz w:val="24"/>
          <w:szCs w:val="24"/>
          <w:vertAlign w:val="superscript"/>
        </w:rPr>
        <w:footnoteReference w:id="15"/>
      </w:r>
      <w:r>
        <w:rPr>
          <w:sz w:val="24"/>
          <w:szCs w:val="24"/>
        </w:rPr>
        <w:t xml:space="preserve"> when disputes between State</w:t>
      </w:r>
      <w:r w:rsidR="00CC5754">
        <w:rPr>
          <w:sz w:val="24"/>
          <w:szCs w:val="24"/>
        </w:rPr>
        <w:t xml:space="preserve"> </w:t>
      </w:r>
      <w:r>
        <w:rPr>
          <w:sz w:val="24"/>
          <w:szCs w:val="24"/>
        </w:rPr>
        <w:t>parties cannot be settled by other means.</w:t>
      </w:r>
      <w:r>
        <w:rPr>
          <w:sz w:val="24"/>
          <w:szCs w:val="24"/>
          <w:vertAlign w:val="superscript"/>
        </w:rPr>
        <w:footnoteReference w:id="16"/>
      </w:r>
      <w:r>
        <w:rPr>
          <w:sz w:val="24"/>
          <w:szCs w:val="24"/>
        </w:rPr>
        <w:t xml:space="preserve"> Furthermore, as ruled in </w:t>
      </w:r>
      <w:r>
        <w:rPr>
          <w:i/>
          <w:sz w:val="24"/>
          <w:szCs w:val="24"/>
        </w:rPr>
        <w:t>Belgium v. Senegal</w:t>
      </w:r>
      <w:r>
        <w:rPr>
          <w:sz w:val="24"/>
          <w:szCs w:val="24"/>
        </w:rPr>
        <w:t xml:space="preserve">, the Applicant does not have to prove a particular interest to submit a dispute concerning obligations </w:t>
      </w:r>
      <w:r>
        <w:rPr>
          <w:i/>
          <w:sz w:val="24"/>
          <w:szCs w:val="24"/>
        </w:rPr>
        <w:t>Erga Omnes Partes</w:t>
      </w:r>
      <w:r>
        <w:rPr>
          <w:sz w:val="24"/>
          <w:szCs w:val="24"/>
        </w:rPr>
        <w:t>.</w:t>
      </w:r>
      <w:r>
        <w:rPr>
          <w:sz w:val="24"/>
          <w:szCs w:val="24"/>
          <w:vertAlign w:val="superscript"/>
        </w:rPr>
        <w:footnoteReference w:id="17"/>
      </w:r>
      <w:r>
        <w:rPr>
          <w:sz w:val="24"/>
          <w:szCs w:val="24"/>
        </w:rPr>
        <w:t xml:space="preserve"> </w:t>
      </w:r>
    </w:p>
    <w:p w14:paraId="7856E669" w14:textId="23AE2B07" w:rsidR="008C2177" w:rsidRDefault="00000000" w:rsidP="00015CF2">
      <w:pPr>
        <w:spacing w:before="240" w:after="80" w:line="480" w:lineRule="auto"/>
        <w:ind w:firstLine="720"/>
        <w:jc w:val="both"/>
        <w:rPr>
          <w:sz w:val="24"/>
          <w:szCs w:val="24"/>
        </w:rPr>
      </w:pPr>
      <w:r>
        <w:rPr>
          <w:sz w:val="24"/>
          <w:szCs w:val="24"/>
        </w:rPr>
        <w:lastRenderedPageBreak/>
        <w:t xml:space="preserve">Both </w:t>
      </w:r>
      <w:r w:rsidR="00515C91">
        <w:rPr>
          <w:sz w:val="24"/>
          <w:szCs w:val="24"/>
        </w:rPr>
        <w:t>P</w:t>
      </w:r>
      <w:r>
        <w:rPr>
          <w:sz w:val="24"/>
          <w:szCs w:val="24"/>
        </w:rPr>
        <w:t>arties agreed on the existence of a dispute</w:t>
      </w:r>
      <w:r>
        <w:rPr>
          <w:sz w:val="24"/>
          <w:szCs w:val="24"/>
          <w:vertAlign w:val="superscript"/>
        </w:rPr>
        <w:footnoteReference w:id="18"/>
      </w:r>
      <w:r>
        <w:rPr>
          <w:sz w:val="24"/>
          <w:szCs w:val="24"/>
        </w:rPr>
        <w:t xml:space="preserve"> and Antrano has already unsuccessfully attempted to resolve it through other means with Remisia.</w:t>
      </w:r>
      <w:r>
        <w:rPr>
          <w:sz w:val="24"/>
          <w:szCs w:val="24"/>
          <w:vertAlign w:val="superscript"/>
        </w:rPr>
        <w:footnoteReference w:id="19"/>
      </w:r>
      <w:r>
        <w:rPr>
          <w:sz w:val="24"/>
          <w:szCs w:val="24"/>
        </w:rPr>
        <w:t xml:space="preserve"> Antrano is not obliged to prove a particular interest to </w:t>
      </w:r>
      <w:r w:rsidR="00515C91">
        <w:rPr>
          <w:sz w:val="24"/>
          <w:szCs w:val="24"/>
        </w:rPr>
        <w:t xml:space="preserve">present a </w:t>
      </w:r>
      <w:r>
        <w:rPr>
          <w:sz w:val="24"/>
          <w:szCs w:val="24"/>
        </w:rPr>
        <w:t>claim against Remisia for violating its obligations</w:t>
      </w:r>
      <w:r>
        <w:rPr>
          <w:i/>
          <w:sz w:val="24"/>
          <w:szCs w:val="24"/>
        </w:rPr>
        <w:t xml:space="preserve"> Erga Omnes Partes</w:t>
      </w:r>
      <w:r>
        <w:rPr>
          <w:sz w:val="24"/>
          <w:szCs w:val="24"/>
        </w:rPr>
        <w:t>. Therefore, Antrano can submit its dispute with Remisia to this Court based on Article 14 of the CRS.</w:t>
      </w:r>
    </w:p>
    <w:p w14:paraId="38D23E49" w14:textId="4104DA63" w:rsidR="008C2177" w:rsidRPr="00420BF9" w:rsidRDefault="00000000" w:rsidP="00015CF2">
      <w:pPr>
        <w:pStyle w:val="Ttulo4"/>
        <w:numPr>
          <w:ilvl w:val="0"/>
          <w:numId w:val="6"/>
        </w:numPr>
        <w:spacing w:line="480" w:lineRule="auto"/>
        <w:jc w:val="both"/>
        <w:rPr>
          <w:b w:val="0"/>
          <w:bCs/>
          <w:u w:val="single"/>
        </w:rPr>
      </w:pPr>
      <w:bookmarkStart w:id="13" w:name="_Toc155961555"/>
      <w:r w:rsidRPr="00420BF9">
        <w:rPr>
          <w:b w:val="0"/>
          <w:bCs/>
          <w:u w:val="single"/>
        </w:rPr>
        <w:t>Antrano has standing under the ICCPR</w:t>
      </w:r>
      <w:bookmarkEnd w:id="13"/>
      <w:r w:rsidR="000E212C">
        <w:rPr>
          <w:b w:val="0"/>
          <w:bCs/>
          <w:u w:val="single"/>
        </w:rPr>
        <w:fldChar w:fldCharType="begin"/>
      </w:r>
      <w:r w:rsidR="000E212C">
        <w:rPr>
          <w:b w:val="0"/>
          <w:bCs/>
          <w:u w:val="single"/>
        </w:rPr>
        <w:instrText xml:space="preserve"> TA \s "ICCPR" </w:instrText>
      </w:r>
      <w:r w:rsidR="000E212C">
        <w:rPr>
          <w:b w:val="0"/>
          <w:bCs/>
          <w:u w:val="single"/>
        </w:rPr>
        <w:fldChar w:fldCharType="end"/>
      </w:r>
    </w:p>
    <w:p w14:paraId="74AC3EF9" w14:textId="27098A9D" w:rsidR="008C2177" w:rsidRDefault="00000000" w:rsidP="00015CF2">
      <w:pPr>
        <w:spacing w:before="240" w:after="80" w:line="480" w:lineRule="auto"/>
        <w:ind w:firstLine="720"/>
        <w:jc w:val="both"/>
        <w:rPr>
          <w:sz w:val="24"/>
          <w:szCs w:val="24"/>
        </w:rPr>
      </w:pPr>
      <w:r>
        <w:rPr>
          <w:sz w:val="24"/>
          <w:szCs w:val="24"/>
        </w:rPr>
        <w:t>Article 2(1) of the ICCPR</w:t>
      </w:r>
      <w:r w:rsidR="000E212C">
        <w:rPr>
          <w:sz w:val="24"/>
          <w:szCs w:val="24"/>
        </w:rPr>
        <w:fldChar w:fldCharType="begin"/>
      </w:r>
      <w:r w:rsidR="000E212C">
        <w:rPr>
          <w:sz w:val="24"/>
          <w:szCs w:val="24"/>
        </w:rPr>
        <w:instrText xml:space="preserve"> TA \s "ICCPR" </w:instrText>
      </w:r>
      <w:r w:rsidR="000E212C">
        <w:rPr>
          <w:sz w:val="24"/>
          <w:szCs w:val="24"/>
        </w:rPr>
        <w:fldChar w:fldCharType="end"/>
      </w:r>
      <w:r>
        <w:rPr>
          <w:sz w:val="24"/>
          <w:szCs w:val="24"/>
        </w:rPr>
        <w:t xml:space="preserve"> imposes obligations </w:t>
      </w:r>
      <w:r>
        <w:rPr>
          <w:i/>
          <w:sz w:val="24"/>
          <w:szCs w:val="24"/>
        </w:rPr>
        <w:t>Erga Omnes Partes</w:t>
      </w:r>
      <w:r>
        <w:rPr>
          <w:sz w:val="24"/>
          <w:szCs w:val="24"/>
        </w:rPr>
        <w:t xml:space="preserve"> as it </w:t>
      </w:r>
      <w:r w:rsidR="00FF1677">
        <w:rPr>
          <w:sz w:val="24"/>
          <w:szCs w:val="24"/>
        </w:rPr>
        <w:t xml:space="preserve">establishes </w:t>
      </w:r>
      <w:r>
        <w:rPr>
          <w:sz w:val="24"/>
          <w:szCs w:val="24"/>
        </w:rPr>
        <w:t>that all States parties must ensure the rights contained in the treaty to individuals within their territory.</w:t>
      </w:r>
      <w:r>
        <w:rPr>
          <w:sz w:val="24"/>
          <w:szCs w:val="24"/>
          <w:vertAlign w:val="superscript"/>
        </w:rPr>
        <w:footnoteReference w:id="20"/>
      </w:r>
      <w:r>
        <w:rPr>
          <w:sz w:val="24"/>
          <w:szCs w:val="24"/>
        </w:rPr>
        <w:t xml:space="preserve">  The UN Human Rights Committee (‘HRComm’), </w:t>
      </w:r>
      <w:r w:rsidR="001B529C">
        <w:rPr>
          <w:sz w:val="24"/>
          <w:szCs w:val="24"/>
        </w:rPr>
        <w:t xml:space="preserve">when </w:t>
      </w:r>
      <w:r>
        <w:rPr>
          <w:sz w:val="24"/>
          <w:szCs w:val="24"/>
        </w:rPr>
        <w:t>interpreting the ICCPR has reinforced this conclusion by asserting that each party to the treaty possesses a legal interest in ensuring that other State parties fulfill their treaty obligations.</w:t>
      </w:r>
      <w:r>
        <w:rPr>
          <w:sz w:val="24"/>
          <w:szCs w:val="24"/>
          <w:vertAlign w:val="superscript"/>
        </w:rPr>
        <w:footnoteReference w:id="21"/>
      </w:r>
      <w:r>
        <w:rPr>
          <w:sz w:val="24"/>
          <w:szCs w:val="24"/>
        </w:rPr>
        <w:t xml:space="preserve"> </w:t>
      </w:r>
    </w:p>
    <w:p w14:paraId="0EF8C91A" w14:textId="708CD7BA" w:rsidR="008C2177" w:rsidRDefault="00000000" w:rsidP="00015CF2">
      <w:pPr>
        <w:spacing w:before="240" w:after="80" w:line="480" w:lineRule="auto"/>
        <w:ind w:firstLine="720"/>
        <w:jc w:val="both"/>
        <w:rPr>
          <w:sz w:val="24"/>
          <w:szCs w:val="24"/>
        </w:rPr>
      </w:pPr>
      <w:r>
        <w:rPr>
          <w:sz w:val="24"/>
          <w:szCs w:val="24"/>
        </w:rPr>
        <w:t>The object and purpose of the ICCPR</w:t>
      </w:r>
      <w:r w:rsidR="000E212C">
        <w:rPr>
          <w:sz w:val="24"/>
          <w:szCs w:val="24"/>
        </w:rPr>
        <w:fldChar w:fldCharType="begin"/>
      </w:r>
      <w:r w:rsidR="000E212C">
        <w:rPr>
          <w:sz w:val="24"/>
          <w:szCs w:val="24"/>
        </w:rPr>
        <w:instrText xml:space="preserve"> TA \s "ICCPR" </w:instrText>
      </w:r>
      <w:r w:rsidR="000E212C">
        <w:rPr>
          <w:sz w:val="24"/>
          <w:szCs w:val="24"/>
        </w:rPr>
        <w:fldChar w:fldCharType="end"/>
      </w:r>
      <w:r>
        <w:rPr>
          <w:sz w:val="24"/>
          <w:szCs w:val="24"/>
        </w:rPr>
        <w:t xml:space="preserve"> is to ‘secure the ideal of free human beings enjoying civil and political freedom.</w:t>
      </w:r>
      <w:r>
        <w:rPr>
          <w:sz w:val="24"/>
          <w:szCs w:val="24"/>
          <w:vertAlign w:val="superscript"/>
        </w:rPr>
        <w:footnoteReference w:id="22"/>
      </w:r>
      <w:r>
        <w:rPr>
          <w:sz w:val="24"/>
          <w:szCs w:val="24"/>
        </w:rPr>
        <w:t xml:space="preserve"> Consequently, obligations central to fulfilling that purpose</w:t>
      </w:r>
      <w:r w:rsidR="00916901">
        <w:rPr>
          <w:sz w:val="24"/>
          <w:szCs w:val="24"/>
        </w:rPr>
        <w:t>,</w:t>
      </w:r>
      <w:r>
        <w:rPr>
          <w:sz w:val="24"/>
          <w:szCs w:val="24"/>
        </w:rPr>
        <w:t xml:space="preserve"> such as freedom of expression and assembly</w:t>
      </w:r>
      <w:r w:rsidR="00916901">
        <w:rPr>
          <w:sz w:val="24"/>
          <w:szCs w:val="24"/>
        </w:rPr>
        <w:t>,</w:t>
      </w:r>
      <w:r>
        <w:rPr>
          <w:sz w:val="24"/>
          <w:szCs w:val="24"/>
        </w:rPr>
        <w:t xml:space="preserve"> </w:t>
      </w:r>
      <w:r w:rsidR="001B529C">
        <w:rPr>
          <w:sz w:val="24"/>
          <w:szCs w:val="24"/>
        </w:rPr>
        <w:t xml:space="preserve">have </w:t>
      </w:r>
      <w:r>
        <w:rPr>
          <w:sz w:val="24"/>
          <w:szCs w:val="24"/>
        </w:rPr>
        <w:t xml:space="preserve">an </w:t>
      </w:r>
      <w:r>
        <w:rPr>
          <w:i/>
          <w:sz w:val="24"/>
          <w:szCs w:val="24"/>
        </w:rPr>
        <w:t>Erga Omnes Partes</w:t>
      </w:r>
      <w:r>
        <w:rPr>
          <w:sz w:val="24"/>
          <w:szCs w:val="24"/>
        </w:rPr>
        <w:t xml:space="preserve"> character.</w:t>
      </w:r>
      <w:r>
        <w:rPr>
          <w:sz w:val="24"/>
          <w:szCs w:val="24"/>
          <w:vertAlign w:val="superscript"/>
        </w:rPr>
        <w:footnoteReference w:id="23"/>
      </w:r>
    </w:p>
    <w:p w14:paraId="2AC4B84F" w14:textId="2C036D41" w:rsidR="003B61B2" w:rsidRDefault="00000000" w:rsidP="00015CF2">
      <w:pPr>
        <w:spacing w:before="240" w:after="80" w:line="480" w:lineRule="auto"/>
        <w:ind w:firstLine="720"/>
        <w:jc w:val="both"/>
        <w:rPr>
          <w:sz w:val="24"/>
          <w:szCs w:val="24"/>
        </w:rPr>
      </w:pPr>
      <w:r>
        <w:rPr>
          <w:sz w:val="24"/>
          <w:szCs w:val="24"/>
        </w:rPr>
        <w:lastRenderedPageBreak/>
        <w:t>Remisia deprived the Sterren Forty’s nationality and imprisoned them</w:t>
      </w:r>
      <w:r>
        <w:rPr>
          <w:sz w:val="24"/>
          <w:szCs w:val="24"/>
          <w:vertAlign w:val="superscript"/>
        </w:rPr>
        <w:footnoteReference w:id="24"/>
      </w:r>
      <w:r>
        <w:rPr>
          <w:sz w:val="24"/>
          <w:szCs w:val="24"/>
        </w:rPr>
        <w:t xml:space="preserve"> in order to suppress their rights to freedom of expression and assembly.</w:t>
      </w:r>
      <w:r>
        <w:rPr>
          <w:sz w:val="24"/>
          <w:szCs w:val="24"/>
          <w:vertAlign w:val="superscript"/>
        </w:rPr>
        <w:footnoteReference w:id="25"/>
      </w:r>
      <w:r>
        <w:rPr>
          <w:sz w:val="24"/>
          <w:szCs w:val="24"/>
        </w:rPr>
        <w:t xml:space="preserve"> Therefore</w:t>
      </w:r>
      <w:r w:rsidR="001B529C">
        <w:rPr>
          <w:sz w:val="24"/>
          <w:szCs w:val="24"/>
        </w:rPr>
        <w:t>,</w:t>
      </w:r>
      <w:r>
        <w:rPr>
          <w:sz w:val="24"/>
          <w:szCs w:val="24"/>
        </w:rPr>
        <w:t xml:space="preserve"> Antrano</w:t>
      </w:r>
      <w:r w:rsidR="001B529C">
        <w:rPr>
          <w:sz w:val="24"/>
          <w:szCs w:val="24"/>
        </w:rPr>
        <w:t>’s standing shall be recognized as it</w:t>
      </w:r>
      <w:r>
        <w:rPr>
          <w:sz w:val="24"/>
          <w:szCs w:val="24"/>
        </w:rPr>
        <w:t xml:space="preserve"> seeks to compel Remisia to fulfill its </w:t>
      </w:r>
      <w:r>
        <w:rPr>
          <w:i/>
          <w:sz w:val="24"/>
          <w:szCs w:val="24"/>
        </w:rPr>
        <w:t xml:space="preserve">Erga Omnes Partes </w:t>
      </w:r>
      <w:r w:rsidR="001B529C" w:rsidRPr="00515C91">
        <w:rPr>
          <w:iCs/>
          <w:sz w:val="24"/>
          <w:szCs w:val="24"/>
        </w:rPr>
        <w:t>obligations</w:t>
      </w:r>
      <w:r w:rsidR="001B529C">
        <w:rPr>
          <w:i/>
          <w:sz w:val="24"/>
          <w:szCs w:val="24"/>
        </w:rPr>
        <w:t xml:space="preserve"> </w:t>
      </w:r>
      <w:r>
        <w:rPr>
          <w:sz w:val="24"/>
          <w:szCs w:val="24"/>
        </w:rPr>
        <w:t>under the ICCPR</w:t>
      </w:r>
      <w:r w:rsidR="000E212C">
        <w:rPr>
          <w:sz w:val="24"/>
          <w:szCs w:val="24"/>
        </w:rPr>
        <w:fldChar w:fldCharType="begin"/>
      </w:r>
      <w:r w:rsidR="000E212C">
        <w:rPr>
          <w:sz w:val="24"/>
          <w:szCs w:val="24"/>
        </w:rPr>
        <w:instrText xml:space="preserve"> TA \s "ICCPR" </w:instrText>
      </w:r>
      <w:r w:rsidR="000E212C">
        <w:rPr>
          <w:sz w:val="24"/>
          <w:szCs w:val="24"/>
        </w:rPr>
        <w:fldChar w:fldCharType="end"/>
      </w:r>
      <w:r>
        <w:rPr>
          <w:sz w:val="24"/>
          <w:szCs w:val="24"/>
        </w:rPr>
        <w:t>.</w:t>
      </w:r>
    </w:p>
    <w:p w14:paraId="4B03BE19" w14:textId="77777777" w:rsidR="008C2177" w:rsidRPr="00892401" w:rsidRDefault="00000000" w:rsidP="00015CF2">
      <w:pPr>
        <w:pStyle w:val="Ttulo3"/>
        <w:numPr>
          <w:ilvl w:val="0"/>
          <w:numId w:val="26"/>
        </w:numPr>
        <w:spacing w:before="240" w:line="480" w:lineRule="auto"/>
        <w:jc w:val="both"/>
        <w:rPr>
          <w:sz w:val="24"/>
          <w:szCs w:val="24"/>
        </w:rPr>
      </w:pPr>
      <w:bookmarkStart w:id="14" w:name="_Toc155961556"/>
      <w:r>
        <w:rPr>
          <w:sz w:val="24"/>
          <w:szCs w:val="24"/>
        </w:rPr>
        <w:t xml:space="preserve">Alternatively, Antrano has standing based on the </w:t>
      </w:r>
      <w:r w:rsidRPr="00916901">
        <w:rPr>
          <w:i/>
          <w:iCs/>
          <w:sz w:val="24"/>
          <w:szCs w:val="24"/>
        </w:rPr>
        <w:t>Erga Omnes</w:t>
      </w:r>
      <w:r>
        <w:rPr>
          <w:sz w:val="24"/>
          <w:szCs w:val="24"/>
        </w:rPr>
        <w:t xml:space="preserve"> obligation to protect the basic human right to nationality</w:t>
      </w:r>
      <w:bookmarkEnd w:id="14"/>
    </w:p>
    <w:p w14:paraId="69A09421" w14:textId="78EFD406" w:rsidR="008C2177" w:rsidRDefault="00000000" w:rsidP="00015CF2">
      <w:pPr>
        <w:spacing w:before="240" w:after="80" w:line="480" w:lineRule="auto"/>
        <w:ind w:firstLine="720"/>
        <w:jc w:val="both"/>
        <w:rPr>
          <w:sz w:val="24"/>
          <w:szCs w:val="24"/>
        </w:rPr>
      </w:pPr>
      <w:r>
        <w:rPr>
          <w:sz w:val="24"/>
          <w:szCs w:val="24"/>
        </w:rPr>
        <w:t xml:space="preserve">Antrano is entitled to invoke the responsibility of Remisia for breaching </w:t>
      </w:r>
      <w:r>
        <w:rPr>
          <w:i/>
          <w:sz w:val="24"/>
          <w:szCs w:val="24"/>
        </w:rPr>
        <w:t>Erga Omnes</w:t>
      </w:r>
      <w:r w:rsidR="001B529C">
        <w:rPr>
          <w:i/>
          <w:sz w:val="24"/>
          <w:szCs w:val="24"/>
        </w:rPr>
        <w:t xml:space="preserve"> </w:t>
      </w:r>
      <w:r w:rsidR="001B529C">
        <w:rPr>
          <w:sz w:val="24"/>
          <w:szCs w:val="24"/>
        </w:rPr>
        <w:t>obligations</w:t>
      </w:r>
      <w:r>
        <w:rPr>
          <w:sz w:val="24"/>
          <w:szCs w:val="24"/>
        </w:rPr>
        <w:t>.</w:t>
      </w:r>
      <w:r>
        <w:rPr>
          <w:sz w:val="24"/>
          <w:szCs w:val="24"/>
          <w:vertAlign w:val="superscript"/>
        </w:rPr>
        <w:footnoteReference w:id="26"/>
      </w:r>
      <w:r>
        <w:rPr>
          <w:sz w:val="24"/>
          <w:szCs w:val="24"/>
        </w:rPr>
        <w:t xml:space="preserve"> As ruled in </w:t>
      </w:r>
      <w:r>
        <w:rPr>
          <w:i/>
          <w:sz w:val="24"/>
          <w:szCs w:val="24"/>
        </w:rPr>
        <w:t>Barcelona Traction</w:t>
      </w:r>
      <w:r w:rsidR="005D54B9">
        <w:rPr>
          <w:i/>
          <w:sz w:val="24"/>
          <w:szCs w:val="24"/>
        </w:rPr>
        <w:fldChar w:fldCharType="begin"/>
      </w:r>
      <w:r w:rsidR="005D54B9">
        <w:instrText xml:space="preserve"> TA \l "</w:instrText>
      </w:r>
      <w:r w:rsidR="005D54B9" w:rsidRPr="005705A8">
        <w:rPr>
          <w:i/>
          <w:sz w:val="24"/>
          <w:szCs w:val="24"/>
        </w:rPr>
        <w:instrText xml:space="preserve">Case Concerning the Barcelona Traction, Light and Power Company, Limited (Belgium v. Spain) </w:instrText>
      </w:r>
      <w:r w:rsidR="005D54B9" w:rsidRPr="005705A8">
        <w:rPr>
          <w:sz w:val="24"/>
          <w:szCs w:val="24"/>
        </w:rPr>
        <w:instrText>(Second Phase) [1970] [</w:instrText>
      </w:r>
      <w:r w:rsidR="005D54B9" w:rsidRPr="005705A8">
        <w:rPr>
          <w:i/>
          <w:sz w:val="24"/>
          <w:szCs w:val="24"/>
        </w:rPr>
        <w:instrText>‘Barcelona Traction’</w:instrText>
      </w:r>
      <w:r w:rsidR="005D54B9" w:rsidRPr="005705A8">
        <w:rPr>
          <w:sz w:val="24"/>
          <w:szCs w:val="24"/>
        </w:rPr>
        <w:instrText xml:space="preserve">] </w:instrText>
      </w:r>
      <w:r w:rsidR="005D54B9" w:rsidRPr="005705A8">
        <w:rPr>
          <w:sz w:val="24"/>
          <w:szCs w:val="24"/>
          <w:highlight w:val="white"/>
        </w:rPr>
        <w:instrText>ICJ Rep 32</w:instrText>
      </w:r>
      <w:r w:rsidR="005D54B9">
        <w:instrText xml:space="preserve">" \s "Barcelona Traction" \c 1 </w:instrText>
      </w:r>
      <w:r w:rsidR="005D54B9">
        <w:rPr>
          <w:i/>
          <w:sz w:val="24"/>
          <w:szCs w:val="24"/>
        </w:rPr>
        <w:fldChar w:fldCharType="end"/>
      </w:r>
      <w:r>
        <w:rPr>
          <w:i/>
          <w:sz w:val="24"/>
          <w:szCs w:val="24"/>
        </w:rPr>
        <w:t>,</w:t>
      </w:r>
      <w:r>
        <w:rPr>
          <w:sz w:val="24"/>
          <w:szCs w:val="24"/>
        </w:rPr>
        <w:t xml:space="preserve"> since these obligations are owed to the international community as a whole,</w:t>
      </w:r>
      <w:r>
        <w:rPr>
          <w:sz w:val="24"/>
          <w:szCs w:val="24"/>
          <w:vertAlign w:val="superscript"/>
        </w:rPr>
        <w:footnoteReference w:id="27"/>
      </w:r>
      <w:r>
        <w:rPr>
          <w:sz w:val="24"/>
          <w:szCs w:val="24"/>
        </w:rPr>
        <w:t xml:space="preserve"> all </w:t>
      </w:r>
      <w:r w:rsidR="00AB58C8">
        <w:rPr>
          <w:sz w:val="24"/>
          <w:szCs w:val="24"/>
        </w:rPr>
        <w:t>s</w:t>
      </w:r>
      <w:r>
        <w:rPr>
          <w:sz w:val="24"/>
          <w:szCs w:val="24"/>
        </w:rPr>
        <w:t>tates have a legal interest in their compliance.</w:t>
      </w:r>
      <w:r>
        <w:rPr>
          <w:sz w:val="24"/>
          <w:szCs w:val="24"/>
          <w:vertAlign w:val="superscript"/>
        </w:rPr>
        <w:footnoteReference w:id="28"/>
      </w:r>
      <w:r>
        <w:rPr>
          <w:i/>
          <w:sz w:val="24"/>
          <w:szCs w:val="24"/>
        </w:rPr>
        <w:t xml:space="preserve"> </w:t>
      </w:r>
      <w:r>
        <w:rPr>
          <w:sz w:val="24"/>
          <w:szCs w:val="24"/>
        </w:rPr>
        <w:t xml:space="preserve">This is supported by </w:t>
      </w:r>
      <w:r w:rsidR="001B529C">
        <w:rPr>
          <w:sz w:val="24"/>
          <w:szCs w:val="24"/>
        </w:rPr>
        <w:t xml:space="preserve">decisions of </w:t>
      </w:r>
      <w:r>
        <w:rPr>
          <w:sz w:val="24"/>
          <w:szCs w:val="24"/>
        </w:rPr>
        <w:t>international tribunals</w:t>
      </w:r>
      <w:r>
        <w:rPr>
          <w:sz w:val="24"/>
          <w:szCs w:val="24"/>
          <w:vertAlign w:val="superscript"/>
        </w:rPr>
        <w:footnoteReference w:id="29"/>
      </w:r>
      <w:r>
        <w:rPr>
          <w:sz w:val="24"/>
          <w:szCs w:val="24"/>
        </w:rPr>
        <w:t xml:space="preserve"> and practice of </w:t>
      </w:r>
      <w:r w:rsidR="00AB58C8">
        <w:rPr>
          <w:sz w:val="24"/>
          <w:szCs w:val="24"/>
        </w:rPr>
        <w:t>s</w:t>
      </w:r>
      <w:r>
        <w:rPr>
          <w:sz w:val="24"/>
          <w:szCs w:val="24"/>
        </w:rPr>
        <w:t xml:space="preserve">tates instituting proceedings on </w:t>
      </w:r>
      <w:r>
        <w:rPr>
          <w:i/>
          <w:sz w:val="24"/>
          <w:szCs w:val="24"/>
        </w:rPr>
        <w:t>Erga Omnes</w:t>
      </w:r>
      <w:r>
        <w:rPr>
          <w:sz w:val="24"/>
          <w:szCs w:val="24"/>
        </w:rPr>
        <w:t xml:space="preserve"> obligations standing basis.</w:t>
      </w:r>
      <w:r>
        <w:rPr>
          <w:sz w:val="24"/>
          <w:szCs w:val="24"/>
          <w:vertAlign w:val="superscript"/>
        </w:rPr>
        <w:footnoteReference w:id="30"/>
      </w:r>
      <w:r>
        <w:rPr>
          <w:sz w:val="24"/>
          <w:szCs w:val="24"/>
        </w:rPr>
        <w:t xml:space="preserve"> </w:t>
      </w:r>
    </w:p>
    <w:p w14:paraId="505FA807" w14:textId="6B0BE038" w:rsidR="008C2177" w:rsidRDefault="00000000" w:rsidP="00015CF2">
      <w:pPr>
        <w:spacing w:before="240" w:after="80" w:line="480" w:lineRule="auto"/>
        <w:ind w:firstLine="720"/>
        <w:jc w:val="both"/>
        <w:rPr>
          <w:sz w:val="24"/>
          <w:szCs w:val="24"/>
        </w:rPr>
      </w:pPr>
      <w:r>
        <w:rPr>
          <w:i/>
          <w:sz w:val="24"/>
          <w:szCs w:val="24"/>
        </w:rPr>
        <w:lastRenderedPageBreak/>
        <w:t xml:space="preserve">Erga Omnes </w:t>
      </w:r>
      <w:r>
        <w:rPr>
          <w:sz w:val="24"/>
          <w:szCs w:val="24"/>
        </w:rPr>
        <w:t>obligations extend to the protection of basic human rights,</w:t>
      </w:r>
      <w:r>
        <w:rPr>
          <w:sz w:val="24"/>
          <w:szCs w:val="24"/>
          <w:vertAlign w:val="superscript"/>
        </w:rPr>
        <w:footnoteReference w:id="31"/>
      </w:r>
      <w:r>
        <w:rPr>
          <w:sz w:val="24"/>
          <w:szCs w:val="24"/>
        </w:rPr>
        <w:t xml:space="preserve"> and are not limited to </w:t>
      </w:r>
      <w:r w:rsidRPr="00515C91">
        <w:rPr>
          <w:i/>
          <w:iCs/>
          <w:sz w:val="24"/>
          <w:szCs w:val="24"/>
        </w:rPr>
        <w:t>Jus Cogens</w:t>
      </w:r>
      <w:r w:rsidR="00515C91">
        <w:rPr>
          <w:sz w:val="24"/>
          <w:szCs w:val="24"/>
        </w:rPr>
        <w:t xml:space="preserve"> </w:t>
      </w:r>
      <w:r>
        <w:rPr>
          <w:sz w:val="24"/>
          <w:szCs w:val="24"/>
        </w:rPr>
        <w:t>rules.</w:t>
      </w:r>
      <w:r>
        <w:rPr>
          <w:sz w:val="24"/>
          <w:szCs w:val="24"/>
          <w:vertAlign w:val="superscript"/>
        </w:rPr>
        <w:footnoteReference w:id="32"/>
      </w:r>
      <w:r>
        <w:rPr>
          <w:sz w:val="24"/>
          <w:szCs w:val="24"/>
        </w:rPr>
        <w:t xml:space="preserve"> Although there is no settled consensus on which obligations have </w:t>
      </w:r>
      <w:r>
        <w:rPr>
          <w:i/>
          <w:sz w:val="24"/>
          <w:szCs w:val="24"/>
        </w:rPr>
        <w:t xml:space="preserve">Erga Omnes </w:t>
      </w:r>
      <w:r>
        <w:rPr>
          <w:sz w:val="24"/>
          <w:szCs w:val="24"/>
        </w:rPr>
        <w:t>character,</w:t>
      </w:r>
      <w:r>
        <w:rPr>
          <w:sz w:val="24"/>
          <w:szCs w:val="24"/>
          <w:vertAlign w:val="superscript"/>
        </w:rPr>
        <w:footnoteReference w:id="33"/>
      </w:r>
      <w:r>
        <w:rPr>
          <w:sz w:val="24"/>
          <w:szCs w:val="24"/>
        </w:rPr>
        <w:t xml:space="preserve"> evidence can be found in international </w:t>
      </w:r>
      <w:r w:rsidR="0021061D">
        <w:rPr>
          <w:sz w:val="24"/>
          <w:szCs w:val="24"/>
        </w:rPr>
        <w:t>treaties, and</w:t>
      </w:r>
      <w:r>
        <w:rPr>
          <w:sz w:val="24"/>
          <w:szCs w:val="24"/>
        </w:rPr>
        <w:t xml:space="preserve"> the conduct of international organizations reflecting the international community interest in protecting certain basic human rights.</w:t>
      </w:r>
      <w:r>
        <w:rPr>
          <w:sz w:val="24"/>
          <w:szCs w:val="24"/>
          <w:vertAlign w:val="superscript"/>
        </w:rPr>
        <w:footnoteReference w:id="34"/>
      </w:r>
    </w:p>
    <w:p w14:paraId="337D9F37" w14:textId="249200EB" w:rsidR="003B61B2" w:rsidRDefault="00000000" w:rsidP="00015CF2">
      <w:pPr>
        <w:spacing w:before="240" w:after="80" w:line="480" w:lineRule="auto"/>
        <w:ind w:firstLine="720"/>
        <w:jc w:val="both"/>
        <w:rPr>
          <w:sz w:val="24"/>
          <w:szCs w:val="24"/>
        </w:rPr>
      </w:pPr>
      <w:r>
        <w:rPr>
          <w:sz w:val="24"/>
          <w:szCs w:val="24"/>
        </w:rPr>
        <w:t>Regional Human Rights Courts have highlighted the basic nature of the right to nationality, including that it is an inherent right of all human beings,</w:t>
      </w:r>
      <w:r>
        <w:rPr>
          <w:sz w:val="24"/>
          <w:szCs w:val="24"/>
          <w:vertAlign w:val="superscript"/>
        </w:rPr>
        <w:footnoteReference w:id="35"/>
      </w:r>
      <w:r>
        <w:rPr>
          <w:sz w:val="24"/>
          <w:szCs w:val="24"/>
        </w:rPr>
        <w:t xml:space="preserve"> and a necessary precondition for the exercise of political rights and legal capacity.</w:t>
      </w:r>
      <w:r>
        <w:rPr>
          <w:sz w:val="24"/>
          <w:szCs w:val="24"/>
          <w:vertAlign w:val="superscript"/>
        </w:rPr>
        <w:footnoteReference w:id="36"/>
      </w:r>
      <w:r>
        <w:rPr>
          <w:sz w:val="24"/>
          <w:szCs w:val="24"/>
        </w:rPr>
        <w:t xml:space="preserve"> Its </w:t>
      </w:r>
      <w:r>
        <w:rPr>
          <w:i/>
          <w:sz w:val="24"/>
          <w:szCs w:val="24"/>
        </w:rPr>
        <w:t>Erga Omnes</w:t>
      </w:r>
      <w:r>
        <w:rPr>
          <w:sz w:val="24"/>
          <w:szCs w:val="24"/>
        </w:rPr>
        <w:t xml:space="preserve"> character is evidenced in the common interest of the international community in protecting this basic human right, as reflected in several treaties,</w:t>
      </w:r>
      <w:r>
        <w:rPr>
          <w:sz w:val="24"/>
          <w:szCs w:val="24"/>
          <w:vertAlign w:val="superscript"/>
        </w:rPr>
        <w:footnoteReference w:id="37"/>
      </w:r>
      <w:r>
        <w:rPr>
          <w:sz w:val="24"/>
          <w:szCs w:val="24"/>
        </w:rPr>
        <w:t xml:space="preserve"> State practice</w:t>
      </w:r>
      <w:r w:rsidR="00150704">
        <w:rPr>
          <w:sz w:val="24"/>
          <w:szCs w:val="24"/>
        </w:rPr>
        <w:t>,</w:t>
      </w:r>
      <w:r>
        <w:rPr>
          <w:sz w:val="24"/>
          <w:szCs w:val="24"/>
          <w:vertAlign w:val="superscript"/>
        </w:rPr>
        <w:footnoteReference w:id="38"/>
      </w:r>
      <w:r>
        <w:rPr>
          <w:sz w:val="24"/>
          <w:szCs w:val="24"/>
        </w:rPr>
        <w:t xml:space="preserve"> and the conduct of international </w:t>
      </w:r>
      <w:r>
        <w:rPr>
          <w:sz w:val="24"/>
          <w:szCs w:val="24"/>
        </w:rPr>
        <w:lastRenderedPageBreak/>
        <w:t>organizations.</w:t>
      </w:r>
      <w:r>
        <w:rPr>
          <w:sz w:val="24"/>
          <w:szCs w:val="24"/>
          <w:vertAlign w:val="superscript"/>
        </w:rPr>
        <w:footnoteReference w:id="39"/>
      </w:r>
      <w:r>
        <w:rPr>
          <w:sz w:val="24"/>
          <w:szCs w:val="24"/>
        </w:rPr>
        <w:t xml:space="preserve"> Therefore, this Court </w:t>
      </w:r>
      <w:r w:rsidR="00515C91">
        <w:rPr>
          <w:sz w:val="24"/>
          <w:szCs w:val="24"/>
        </w:rPr>
        <w:t>should</w:t>
      </w:r>
      <w:r>
        <w:rPr>
          <w:sz w:val="24"/>
          <w:szCs w:val="24"/>
        </w:rPr>
        <w:t xml:space="preserve"> grant Antrano standing based on the </w:t>
      </w:r>
      <w:r>
        <w:rPr>
          <w:i/>
          <w:sz w:val="24"/>
          <w:szCs w:val="24"/>
        </w:rPr>
        <w:t>Erga Omnes</w:t>
      </w:r>
      <w:r>
        <w:rPr>
          <w:sz w:val="24"/>
          <w:szCs w:val="24"/>
        </w:rPr>
        <w:t xml:space="preserve"> obligation to protect the basic human right to nationality of the Sterren Forty.</w:t>
      </w:r>
    </w:p>
    <w:p w14:paraId="140F9904" w14:textId="77777777" w:rsidR="008C2177" w:rsidRPr="00892401" w:rsidRDefault="00000000" w:rsidP="00015CF2">
      <w:pPr>
        <w:pStyle w:val="Ttulo3"/>
        <w:numPr>
          <w:ilvl w:val="0"/>
          <w:numId w:val="26"/>
        </w:numPr>
        <w:spacing w:before="240" w:line="480" w:lineRule="auto"/>
        <w:jc w:val="both"/>
        <w:rPr>
          <w:sz w:val="24"/>
          <w:szCs w:val="24"/>
        </w:rPr>
      </w:pPr>
      <w:bookmarkStart w:id="15" w:name="_Toc155961557"/>
      <w:r>
        <w:rPr>
          <w:sz w:val="24"/>
          <w:szCs w:val="24"/>
        </w:rPr>
        <w:t xml:space="preserve">Antrano’s standing is not barred by the </w:t>
      </w:r>
      <w:r w:rsidRPr="00892401">
        <w:rPr>
          <w:sz w:val="24"/>
          <w:szCs w:val="24"/>
        </w:rPr>
        <w:t>Nationality of the Claimant rule</w:t>
      </w:r>
      <w:bookmarkEnd w:id="15"/>
    </w:p>
    <w:p w14:paraId="356DDC3D" w14:textId="4802AA6D" w:rsidR="008C2177" w:rsidRDefault="00000000" w:rsidP="00015CF2">
      <w:pPr>
        <w:spacing w:before="240" w:after="80" w:line="480" w:lineRule="auto"/>
        <w:ind w:firstLine="720"/>
        <w:jc w:val="both"/>
        <w:rPr>
          <w:sz w:val="24"/>
          <w:szCs w:val="24"/>
          <w:highlight w:val="white"/>
        </w:rPr>
      </w:pPr>
      <w:r>
        <w:rPr>
          <w:sz w:val="24"/>
          <w:szCs w:val="24"/>
        </w:rPr>
        <w:t xml:space="preserve">The </w:t>
      </w:r>
      <w:r>
        <w:rPr>
          <w:sz w:val="24"/>
          <w:szCs w:val="24"/>
          <w:highlight w:val="white"/>
        </w:rPr>
        <w:t xml:space="preserve">Nationality of the Claimant rule </w:t>
      </w:r>
      <w:r>
        <w:rPr>
          <w:sz w:val="24"/>
          <w:szCs w:val="24"/>
        </w:rPr>
        <w:t>provides that when a State seeks to protect a person</w:t>
      </w:r>
      <w:r w:rsidR="00150704">
        <w:rPr>
          <w:sz w:val="24"/>
          <w:szCs w:val="24"/>
        </w:rPr>
        <w:t>,</w:t>
      </w:r>
      <w:r>
        <w:rPr>
          <w:sz w:val="24"/>
          <w:szCs w:val="24"/>
        </w:rPr>
        <w:t xml:space="preserve"> </w:t>
      </w:r>
      <w:r w:rsidR="00150704">
        <w:rPr>
          <w:sz w:val="24"/>
          <w:szCs w:val="24"/>
        </w:rPr>
        <w:t xml:space="preserve">said person </w:t>
      </w:r>
      <w:r>
        <w:rPr>
          <w:sz w:val="24"/>
          <w:szCs w:val="24"/>
        </w:rPr>
        <w:t>must be its national.</w:t>
      </w:r>
      <w:r>
        <w:rPr>
          <w:sz w:val="24"/>
          <w:szCs w:val="24"/>
          <w:vertAlign w:val="superscript"/>
        </w:rPr>
        <w:footnoteReference w:id="40"/>
      </w:r>
      <w:r>
        <w:rPr>
          <w:sz w:val="24"/>
          <w:szCs w:val="24"/>
        </w:rPr>
        <w:t xml:space="preserve"> However, this rule does not apply when the State’s claim stems from </w:t>
      </w:r>
      <w:r>
        <w:rPr>
          <w:i/>
          <w:sz w:val="24"/>
          <w:szCs w:val="24"/>
        </w:rPr>
        <w:t xml:space="preserve">Erga Omnes Partes </w:t>
      </w:r>
      <w:r>
        <w:rPr>
          <w:sz w:val="24"/>
          <w:szCs w:val="24"/>
        </w:rPr>
        <w:t xml:space="preserve">or </w:t>
      </w:r>
      <w:r>
        <w:rPr>
          <w:i/>
          <w:sz w:val="24"/>
          <w:szCs w:val="24"/>
        </w:rPr>
        <w:t xml:space="preserve">Erga omnes </w:t>
      </w:r>
      <w:r>
        <w:rPr>
          <w:sz w:val="24"/>
          <w:szCs w:val="24"/>
        </w:rPr>
        <w:t>obligations,</w:t>
      </w:r>
      <w:r>
        <w:rPr>
          <w:sz w:val="24"/>
          <w:szCs w:val="24"/>
          <w:vertAlign w:val="superscript"/>
        </w:rPr>
        <w:footnoteReference w:id="41"/>
      </w:r>
      <w:r>
        <w:rPr>
          <w:sz w:val="24"/>
          <w:szCs w:val="24"/>
        </w:rPr>
        <w:t xml:space="preserve"> since in those cases the Respondent State is often the one victimizing its own nationals.</w:t>
      </w:r>
      <w:r>
        <w:rPr>
          <w:sz w:val="24"/>
          <w:szCs w:val="24"/>
          <w:vertAlign w:val="superscript"/>
        </w:rPr>
        <w:footnoteReference w:id="42"/>
      </w:r>
      <w:r>
        <w:rPr>
          <w:sz w:val="24"/>
          <w:szCs w:val="24"/>
        </w:rPr>
        <w:t xml:space="preserve"> </w:t>
      </w:r>
      <w:r>
        <w:rPr>
          <w:sz w:val="24"/>
          <w:szCs w:val="24"/>
          <w:highlight w:val="white"/>
        </w:rPr>
        <w:t xml:space="preserve">As this Court held in </w:t>
      </w:r>
      <w:r>
        <w:rPr>
          <w:i/>
          <w:sz w:val="24"/>
          <w:szCs w:val="24"/>
        </w:rPr>
        <w:t>The Gambia v. Myanmar</w:t>
      </w:r>
      <w:r w:rsidR="00883AB5">
        <w:rPr>
          <w:i/>
          <w:sz w:val="24"/>
          <w:szCs w:val="24"/>
        </w:rPr>
        <w:fldChar w:fldCharType="begin"/>
      </w:r>
      <w:r w:rsidR="00883AB5">
        <w:instrText xml:space="preserve"> TA \s "The Gambia v. Myanmar" </w:instrText>
      </w:r>
      <w:r w:rsidR="00883AB5">
        <w:rPr>
          <w:i/>
          <w:sz w:val="24"/>
          <w:szCs w:val="24"/>
        </w:rPr>
        <w:fldChar w:fldCharType="end"/>
      </w:r>
      <w:r>
        <w:rPr>
          <w:i/>
          <w:sz w:val="24"/>
          <w:szCs w:val="24"/>
        </w:rPr>
        <w:t xml:space="preserve">, </w:t>
      </w:r>
      <w:r>
        <w:rPr>
          <w:sz w:val="24"/>
          <w:szCs w:val="24"/>
          <w:highlight w:val="white"/>
        </w:rPr>
        <w:t>requiring this rule would make it impossible for any State to protect persons who are victims of violations committed by their own State.</w:t>
      </w:r>
      <w:r>
        <w:rPr>
          <w:sz w:val="24"/>
          <w:szCs w:val="24"/>
          <w:highlight w:val="white"/>
          <w:vertAlign w:val="superscript"/>
        </w:rPr>
        <w:footnoteReference w:id="43"/>
      </w:r>
    </w:p>
    <w:p w14:paraId="52A6CE76" w14:textId="7261F21A" w:rsidR="008C2177" w:rsidRDefault="00000000" w:rsidP="00015CF2">
      <w:pPr>
        <w:spacing w:before="240" w:after="80" w:line="480" w:lineRule="auto"/>
        <w:ind w:firstLine="720"/>
        <w:jc w:val="both"/>
        <w:rPr>
          <w:sz w:val="24"/>
          <w:szCs w:val="24"/>
          <w:highlight w:val="white"/>
        </w:rPr>
      </w:pPr>
      <w:r>
        <w:rPr>
          <w:sz w:val="24"/>
          <w:szCs w:val="24"/>
          <w:highlight w:val="white"/>
        </w:rPr>
        <w:t>Remisia may argue that Antrano</w:t>
      </w:r>
      <w:r w:rsidR="00AB58C8">
        <w:rPr>
          <w:sz w:val="24"/>
          <w:szCs w:val="24"/>
          <w:highlight w:val="white"/>
        </w:rPr>
        <w:t>’</w:t>
      </w:r>
      <w:r>
        <w:rPr>
          <w:sz w:val="24"/>
          <w:szCs w:val="24"/>
          <w:highlight w:val="white"/>
        </w:rPr>
        <w:t>s claim is inadmissible as the Sterren Forty are not Antranan nationals.</w:t>
      </w:r>
      <w:r>
        <w:rPr>
          <w:sz w:val="24"/>
          <w:szCs w:val="24"/>
          <w:highlight w:val="white"/>
          <w:vertAlign w:val="superscript"/>
        </w:rPr>
        <w:footnoteReference w:id="44"/>
      </w:r>
      <w:r>
        <w:rPr>
          <w:sz w:val="24"/>
          <w:szCs w:val="24"/>
          <w:highlight w:val="white"/>
        </w:rPr>
        <w:t xml:space="preserve"> However, Antrano bases its standing on </w:t>
      </w:r>
      <w:r>
        <w:rPr>
          <w:i/>
          <w:sz w:val="24"/>
          <w:szCs w:val="24"/>
          <w:highlight w:val="white"/>
        </w:rPr>
        <w:t>Erga Omnes Partes</w:t>
      </w:r>
      <w:r>
        <w:rPr>
          <w:sz w:val="24"/>
          <w:szCs w:val="24"/>
          <w:highlight w:val="white"/>
        </w:rPr>
        <w:t xml:space="preserve"> obligations under the CRS and the ICCPR</w:t>
      </w:r>
      <w:r w:rsidR="000E212C">
        <w:rPr>
          <w:sz w:val="24"/>
          <w:szCs w:val="24"/>
          <w:highlight w:val="white"/>
        </w:rPr>
        <w:fldChar w:fldCharType="begin"/>
      </w:r>
      <w:r w:rsidR="000E212C">
        <w:rPr>
          <w:sz w:val="24"/>
          <w:szCs w:val="24"/>
          <w:highlight w:val="white"/>
        </w:rPr>
        <w:instrText xml:space="preserve"> TA \s "ICCPR" </w:instrText>
      </w:r>
      <w:r w:rsidR="000E212C">
        <w:rPr>
          <w:sz w:val="24"/>
          <w:szCs w:val="24"/>
          <w:highlight w:val="white"/>
        </w:rPr>
        <w:fldChar w:fldCharType="end"/>
      </w:r>
      <w:r>
        <w:rPr>
          <w:sz w:val="24"/>
          <w:szCs w:val="24"/>
          <w:highlight w:val="white"/>
        </w:rPr>
        <w:t xml:space="preserve">, and the </w:t>
      </w:r>
      <w:r>
        <w:rPr>
          <w:i/>
          <w:sz w:val="24"/>
          <w:szCs w:val="24"/>
          <w:highlight w:val="white"/>
        </w:rPr>
        <w:t>Erga Omnes</w:t>
      </w:r>
      <w:r>
        <w:rPr>
          <w:sz w:val="24"/>
          <w:szCs w:val="24"/>
          <w:highlight w:val="white"/>
        </w:rPr>
        <w:t xml:space="preserve"> obligation to protect the basic human right </w:t>
      </w:r>
      <w:r>
        <w:rPr>
          <w:sz w:val="24"/>
          <w:szCs w:val="24"/>
          <w:highlight w:val="white"/>
        </w:rPr>
        <w:lastRenderedPageBreak/>
        <w:t>to nationality, which was violated by Remisia,</w:t>
      </w:r>
      <w:r>
        <w:rPr>
          <w:sz w:val="24"/>
          <w:szCs w:val="24"/>
          <w:highlight w:val="white"/>
          <w:vertAlign w:val="superscript"/>
        </w:rPr>
        <w:footnoteReference w:id="45"/>
      </w:r>
      <w:r>
        <w:rPr>
          <w:sz w:val="24"/>
          <w:szCs w:val="24"/>
          <w:highlight w:val="white"/>
        </w:rPr>
        <w:t xml:space="preserve"> especially as without that standing no State could bring a claim for these violations since the Sterren Forty are stateless,</w:t>
      </w:r>
      <w:r>
        <w:rPr>
          <w:sz w:val="24"/>
          <w:szCs w:val="24"/>
          <w:highlight w:val="white"/>
          <w:vertAlign w:val="superscript"/>
        </w:rPr>
        <w:footnoteReference w:id="46"/>
      </w:r>
      <w:r>
        <w:rPr>
          <w:sz w:val="24"/>
          <w:szCs w:val="24"/>
          <w:highlight w:val="white"/>
        </w:rPr>
        <w:t xml:space="preserve"> leaving them totally unprotected.</w:t>
      </w:r>
    </w:p>
    <w:p w14:paraId="644B7329" w14:textId="77777777" w:rsidR="008C2177" w:rsidRDefault="00000000" w:rsidP="00015CF2">
      <w:pPr>
        <w:spacing w:before="240" w:after="80" w:line="480" w:lineRule="auto"/>
        <w:ind w:firstLine="720"/>
        <w:jc w:val="both"/>
        <w:rPr>
          <w:sz w:val="24"/>
          <w:szCs w:val="24"/>
          <w:highlight w:val="white"/>
        </w:rPr>
      </w:pPr>
      <w:r>
        <w:rPr>
          <w:sz w:val="24"/>
          <w:szCs w:val="24"/>
          <w:highlight w:val="white"/>
        </w:rPr>
        <w:t xml:space="preserve">Therefore, </w:t>
      </w:r>
      <w:r>
        <w:rPr>
          <w:sz w:val="24"/>
          <w:szCs w:val="24"/>
        </w:rPr>
        <w:t xml:space="preserve">Antrano’s standing is not barred by the </w:t>
      </w:r>
      <w:r>
        <w:rPr>
          <w:sz w:val="24"/>
          <w:szCs w:val="24"/>
          <w:highlight w:val="white"/>
        </w:rPr>
        <w:t>Nationality of the Claimant rule.</w:t>
      </w:r>
    </w:p>
    <w:p w14:paraId="3D8DD41F" w14:textId="77777777" w:rsidR="008C2177" w:rsidRDefault="008C2177" w:rsidP="00015CF2">
      <w:pPr>
        <w:spacing w:before="240" w:line="480" w:lineRule="auto"/>
        <w:ind w:firstLine="720"/>
        <w:jc w:val="both"/>
        <w:rPr>
          <w:sz w:val="24"/>
          <w:szCs w:val="24"/>
          <w:highlight w:val="white"/>
        </w:rPr>
      </w:pPr>
    </w:p>
    <w:p w14:paraId="050F7624" w14:textId="77777777" w:rsidR="008C2177" w:rsidRDefault="008C2177" w:rsidP="00015CF2">
      <w:pPr>
        <w:spacing w:before="240" w:line="480" w:lineRule="auto"/>
        <w:ind w:firstLine="720"/>
        <w:jc w:val="both"/>
        <w:rPr>
          <w:sz w:val="24"/>
          <w:szCs w:val="24"/>
          <w:highlight w:val="white"/>
        </w:rPr>
      </w:pPr>
    </w:p>
    <w:p w14:paraId="3D34047E" w14:textId="77777777" w:rsidR="008C2177" w:rsidRDefault="008C2177" w:rsidP="00015CF2">
      <w:pPr>
        <w:spacing w:before="240" w:line="480" w:lineRule="auto"/>
        <w:ind w:firstLine="720"/>
        <w:jc w:val="both"/>
        <w:rPr>
          <w:sz w:val="24"/>
          <w:szCs w:val="24"/>
          <w:highlight w:val="white"/>
        </w:rPr>
      </w:pPr>
    </w:p>
    <w:p w14:paraId="6602311B" w14:textId="77777777" w:rsidR="00892401" w:rsidRDefault="00892401" w:rsidP="00015CF2">
      <w:pPr>
        <w:spacing w:before="240" w:line="480" w:lineRule="auto"/>
        <w:jc w:val="both"/>
        <w:rPr>
          <w:b/>
          <w:sz w:val="24"/>
          <w:szCs w:val="24"/>
          <w:highlight w:val="white"/>
        </w:rPr>
      </w:pPr>
      <w:r>
        <w:rPr>
          <w:sz w:val="24"/>
          <w:szCs w:val="24"/>
          <w:highlight w:val="white"/>
        </w:rPr>
        <w:br w:type="page"/>
      </w:r>
    </w:p>
    <w:p w14:paraId="39903543" w14:textId="1670DF71" w:rsidR="008C2177" w:rsidRPr="00892401" w:rsidRDefault="00000000" w:rsidP="00015CF2">
      <w:pPr>
        <w:pStyle w:val="Ttulo2"/>
        <w:spacing w:before="240" w:line="480" w:lineRule="auto"/>
        <w:jc w:val="both"/>
        <w:rPr>
          <w:sz w:val="24"/>
          <w:szCs w:val="24"/>
          <w:highlight w:val="white"/>
        </w:rPr>
      </w:pPr>
      <w:bookmarkStart w:id="16" w:name="_Toc155961558"/>
      <w:r>
        <w:rPr>
          <w:sz w:val="24"/>
          <w:szCs w:val="24"/>
          <w:highlight w:val="white"/>
        </w:rPr>
        <w:lastRenderedPageBreak/>
        <w:t>II. REMISIA’S DEPRIVATION OF NATIONALITY OF THE STERREN FORTY, RENDERING THEM STATELESS, IS A VIOLATION OF INTERNATIONAL LAW</w:t>
      </w:r>
      <w:bookmarkEnd w:id="16"/>
    </w:p>
    <w:p w14:paraId="6489894F" w14:textId="5F269244" w:rsidR="00420BF9" w:rsidRDefault="00000000" w:rsidP="00015CF2">
      <w:pPr>
        <w:spacing w:before="240" w:after="240" w:line="480" w:lineRule="auto"/>
        <w:jc w:val="both"/>
        <w:rPr>
          <w:sz w:val="24"/>
          <w:szCs w:val="24"/>
          <w:highlight w:val="white"/>
        </w:rPr>
      </w:pPr>
      <w:r>
        <w:rPr>
          <w:sz w:val="24"/>
          <w:szCs w:val="24"/>
          <w:highlight w:val="white"/>
        </w:rPr>
        <w:t>Remisia’s deprivation of nationality of the Sterren Forty violated its obligations under</w:t>
      </w:r>
      <w:r>
        <w:rPr>
          <w:b/>
          <w:sz w:val="24"/>
          <w:szCs w:val="24"/>
          <w:highlight w:val="white"/>
        </w:rPr>
        <w:t xml:space="preserve"> (A)</w:t>
      </w:r>
      <w:r>
        <w:rPr>
          <w:sz w:val="24"/>
          <w:szCs w:val="24"/>
          <w:highlight w:val="white"/>
        </w:rPr>
        <w:t xml:space="preserve"> the CRS by rendering them stateless and </w:t>
      </w:r>
      <w:r>
        <w:rPr>
          <w:b/>
          <w:sz w:val="24"/>
          <w:szCs w:val="24"/>
          <w:highlight w:val="white"/>
        </w:rPr>
        <w:t xml:space="preserve">(B) </w:t>
      </w:r>
      <w:r>
        <w:rPr>
          <w:sz w:val="24"/>
          <w:szCs w:val="24"/>
          <w:highlight w:val="white"/>
        </w:rPr>
        <w:t>the ICCPR</w:t>
      </w:r>
      <w:r w:rsidR="000E212C">
        <w:rPr>
          <w:sz w:val="24"/>
          <w:szCs w:val="24"/>
          <w:highlight w:val="white"/>
        </w:rPr>
        <w:fldChar w:fldCharType="begin"/>
      </w:r>
      <w:r w:rsidR="000E212C">
        <w:rPr>
          <w:sz w:val="24"/>
          <w:szCs w:val="24"/>
          <w:highlight w:val="white"/>
        </w:rPr>
        <w:instrText xml:space="preserve"> TA \s "ICCPR" </w:instrText>
      </w:r>
      <w:r w:rsidR="000E212C">
        <w:rPr>
          <w:sz w:val="24"/>
          <w:szCs w:val="24"/>
          <w:highlight w:val="white"/>
        </w:rPr>
        <w:fldChar w:fldCharType="end"/>
      </w:r>
      <w:r>
        <w:rPr>
          <w:sz w:val="24"/>
          <w:szCs w:val="24"/>
          <w:highlight w:val="white"/>
        </w:rPr>
        <w:t xml:space="preserve"> for violating their rights to freedom of expression and assembly. Hence, </w:t>
      </w:r>
      <w:r>
        <w:rPr>
          <w:b/>
          <w:sz w:val="24"/>
          <w:szCs w:val="24"/>
          <w:highlight w:val="white"/>
        </w:rPr>
        <w:t>(C)</w:t>
      </w:r>
      <w:r>
        <w:rPr>
          <w:sz w:val="24"/>
          <w:szCs w:val="24"/>
          <w:highlight w:val="white"/>
        </w:rPr>
        <w:t xml:space="preserve"> this Court can and should order the restitution of the Sterren Forty</w:t>
      </w:r>
      <w:r w:rsidR="00176101">
        <w:rPr>
          <w:sz w:val="24"/>
          <w:szCs w:val="24"/>
          <w:highlight w:val="white"/>
        </w:rPr>
        <w:t>’</w:t>
      </w:r>
      <w:r>
        <w:rPr>
          <w:sz w:val="24"/>
          <w:szCs w:val="24"/>
          <w:highlight w:val="white"/>
        </w:rPr>
        <w:t>s Remisian nationality.</w:t>
      </w:r>
    </w:p>
    <w:p w14:paraId="0B1318D8" w14:textId="309CBF36" w:rsidR="008C2177" w:rsidRPr="00420BF9" w:rsidRDefault="00000000" w:rsidP="00015CF2">
      <w:pPr>
        <w:pStyle w:val="Ttulo3"/>
        <w:numPr>
          <w:ilvl w:val="0"/>
          <w:numId w:val="29"/>
        </w:numPr>
        <w:spacing w:before="240" w:after="240" w:line="480" w:lineRule="auto"/>
        <w:jc w:val="both"/>
        <w:rPr>
          <w:sz w:val="24"/>
          <w:szCs w:val="24"/>
          <w:highlight w:val="white"/>
        </w:rPr>
      </w:pPr>
      <w:bookmarkStart w:id="17" w:name="_Toc155961559"/>
      <w:r w:rsidRPr="00420BF9">
        <w:rPr>
          <w:sz w:val="24"/>
          <w:szCs w:val="24"/>
          <w:highlight w:val="white"/>
        </w:rPr>
        <w:t>Remisia violated its obligations under the CRS</w:t>
      </w:r>
      <w:bookmarkEnd w:id="17"/>
      <w:r w:rsidRPr="00420BF9">
        <w:rPr>
          <w:sz w:val="24"/>
          <w:szCs w:val="24"/>
          <w:highlight w:val="white"/>
        </w:rPr>
        <w:t xml:space="preserve"> </w:t>
      </w:r>
    </w:p>
    <w:p w14:paraId="76ACDCD3" w14:textId="0860391C" w:rsidR="008C2177" w:rsidRDefault="00000000" w:rsidP="00015CF2">
      <w:pPr>
        <w:spacing w:before="240" w:after="240" w:line="480" w:lineRule="auto"/>
        <w:ind w:firstLine="720"/>
        <w:jc w:val="both"/>
        <w:rPr>
          <w:sz w:val="24"/>
          <w:szCs w:val="24"/>
          <w:highlight w:val="white"/>
        </w:rPr>
      </w:pPr>
      <w:r>
        <w:rPr>
          <w:sz w:val="24"/>
          <w:szCs w:val="24"/>
          <w:highlight w:val="white"/>
        </w:rPr>
        <w:t xml:space="preserve">Remisia violated </w:t>
      </w:r>
      <w:r>
        <w:rPr>
          <w:b/>
          <w:sz w:val="24"/>
          <w:szCs w:val="24"/>
          <w:highlight w:val="white"/>
        </w:rPr>
        <w:t>(1)</w:t>
      </w:r>
      <w:r>
        <w:rPr>
          <w:sz w:val="24"/>
          <w:szCs w:val="24"/>
          <w:highlight w:val="white"/>
        </w:rPr>
        <w:t xml:space="preserve"> Article 8(1) by rendering the Sterren Forty stateless and </w:t>
      </w:r>
      <w:r>
        <w:rPr>
          <w:b/>
          <w:sz w:val="24"/>
          <w:szCs w:val="24"/>
          <w:highlight w:val="white"/>
        </w:rPr>
        <w:t>(2)</w:t>
      </w:r>
      <w:r>
        <w:rPr>
          <w:sz w:val="24"/>
          <w:szCs w:val="24"/>
          <w:highlight w:val="white"/>
        </w:rPr>
        <w:t xml:space="preserve"> Article 9 of the CRS for depriving their nationality on political grounds. </w:t>
      </w:r>
      <w:r>
        <w:rPr>
          <w:b/>
          <w:sz w:val="24"/>
          <w:szCs w:val="24"/>
          <w:highlight w:val="white"/>
        </w:rPr>
        <w:t>(3)</w:t>
      </w:r>
      <w:r>
        <w:rPr>
          <w:sz w:val="24"/>
          <w:szCs w:val="24"/>
          <w:highlight w:val="white"/>
        </w:rPr>
        <w:t xml:space="preserve"> Furthermore, Remisia cannot rely on</w:t>
      </w:r>
      <w:r w:rsidR="00176101">
        <w:rPr>
          <w:sz w:val="24"/>
          <w:szCs w:val="24"/>
          <w:highlight w:val="white"/>
        </w:rPr>
        <w:t xml:space="preserve"> its declaration pursuant</w:t>
      </w:r>
      <w:r>
        <w:rPr>
          <w:sz w:val="24"/>
          <w:szCs w:val="24"/>
          <w:highlight w:val="white"/>
        </w:rPr>
        <w:t xml:space="preserve"> Article 8(3) to render them stateless</w:t>
      </w:r>
      <w:r w:rsidR="00176101">
        <w:rPr>
          <w:sz w:val="24"/>
          <w:szCs w:val="24"/>
          <w:highlight w:val="white"/>
        </w:rPr>
        <w:t xml:space="preserve"> as it is incompatible with the object and purpose of the treaty</w:t>
      </w:r>
      <w:r>
        <w:rPr>
          <w:sz w:val="24"/>
          <w:szCs w:val="24"/>
          <w:highlight w:val="white"/>
        </w:rPr>
        <w:t xml:space="preserve">. </w:t>
      </w:r>
    </w:p>
    <w:p w14:paraId="60A079FE" w14:textId="6E7BAD61" w:rsidR="008C2177" w:rsidRPr="00290DF4" w:rsidRDefault="00000000" w:rsidP="00015CF2">
      <w:pPr>
        <w:pStyle w:val="Ttulo4"/>
        <w:numPr>
          <w:ilvl w:val="0"/>
          <w:numId w:val="30"/>
        </w:numPr>
        <w:spacing w:after="240" w:line="480" w:lineRule="auto"/>
        <w:jc w:val="both"/>
        <w:rPr>
          <w:b w:val="0"/>
          <w:bCs/>
          <w:highlight w:val="white"/>
          <w:u w:val="single"/>
        </w:rPr>
      </w:pPr>
      <w:bookmarkStart w:id="18" w:name="_Toc155961560"/>
      <w:r w:rsidRPr="00290DF4">
        <w:rPr>
          <w:b w:val="0"/>
          <w:bCs/>
          <w:highlight w:val="white"/>
          <w:u w:val="single"/>
        </w:rPr>
        <w:t>Remisia violated Article 8(1) of the CRS</w:t>
      </w:r>
      <w:bookmarkEnd w:id="18"/>
      <w:r w:rsidRPr="00290DF4">
        <w:rPr>
          <w:b w:val="0"/>
          <w:bCs/>
          <w:highlight w:val="white"/>
          <w:u w:val="single"/>
        </w:rPr>
        <w:t xml:space="preserve"> </w:t>
      </w:r>
    </w:p>
    <w:p w14:paraId="0775027B" w14:textId="26AAEFE1" w:rsidR="008C2177" w:rsidRDefault="00000000" w:rsidP="00015CF2">
      <w:pPr>
        <w:spacing w:before="240" w:after="240" w:line="480" w:lineRule="auto"/>
        <w:ind w:firstLine="720"/>
        <w:jc w:val="both"/>
        <w:rPr>
          <w:b/>
          <w:sz w:val="24"/>
          <w:szCs w:val="24"/>
          <w:highlight w:val="white"/>
        </w:rPr>
      </w:pPr>
      <w:r>
        <w:rPr>
          <w:sz w:val="24"/>
          <w:szCs w:val="24"/>
          <w:highlight w:val="white"/>
        </w:rPr>
        <w:t xml:space="preserve">Article 8(1) of the CRS prohibits </w:t>
      </w:r>
      <w:r w:rsidR="00176101">
        <w:rPr>
          <w:sz w:val="24"/>
          <w:szCs w:val="24"/>
          <w:highlight w:val="white"/>
        </w:rPr>
        <w:t>s</w:t>
      </w:r>
      <w:r>
        <w:rPr>
          <w:sz w:val="24"/>
          <w:szCs w:val="24"/>
          <w:highlight w:val="white"/>
        </w:rPr>
        <w:t xml:space="preserve">tates </w:t>
      </w:r>
      <w:r w:rsidR="00515C91">
        <w:rPr>
          <w:sz w:val="24"/>
          <w:szCs w:val="24"/>
          <w:highlight w:val="white"/>
        </w:rPr>
        <w:t>from</w:t>
      </w:r>
      <w:r>
        <w:rPr>
          <w:sz w:val="24"/>
          <w:szCs w:val="24"/>
          <w:highlight w:val="white"/>
        </w:rPr>
        <w:t xml:space="preserve"> depriv</w:t>
      </w:r>
      <w:r w:rsidR="00515C91">
        <w:rPr>
          <w:sz w:val="24"/>
          <w:szCs w:val="24"/>
          <w:highlight w:val="white"/>
        </w:rPr>
        <w:t>ing</w:t>
      </w:r>
      <w:r>
        <w:rPr>
          <w:sz w:val="24"/>
          <w:szCs w:val="24"/>
          <w:highlight w:val="white"/>
        </w:rPr>
        <w:t xml:space="preserve"> a person of his nationality if such deprivation would render him stateless.</w:t>
      </w:r>
      <w:r>
        <w:rPr>
          <w:sz w:val="24"/>
          <w:szCs w:val="24"/>
          <w:highlight w:val="white"/>
          <w:vertAlign w:val="superscript"/>
        </w:rPr>
        <w:footnoteReference w:id="47"/>
      </w:r>
      <w:r>
        <w:rPr>
          <w:sz w:val="24"/>
          <w:szCs w:val="24"/>
          <w:highlight w:val="white"/>
        </w:rPr>
        <w:t xml:space="preserve"> Any exception to this general prohibition must be in accordance with</w:t>
      </w:r>
      <w:r w:rsidR="00515C91">
        <w:rPr>
          <w:sz w:val="24"/>
          <w:szCs w:val="24"/>
          <w:highlight w:val="white"/>
        </w:rPr>
        <w:t xml:space="preserve"> domestic</w:t>
      </w:r>
      <w:r>
        <w:rPr>
          <w:sz w:val="24"/>
          <w:szCs w:val="24"/>
          <w:highlight w:val="white"/>
        </w:rPr>
        <w:t xml:space="preserve"> law pursuant to Article 8(4),</w:t>
      </w:r>
      <w:r>
        <w:rPr>
          <w:sz w:val="24"/>
          <w:szCs w:val="24"/>
          <w:highlight w:val="white"/>
          <w:vertAlign w:val="superscript"/>
        </w:rPr>
        <w:footnoteReference w:id="48"/>
      </w:r>
      <w:r>
        <w:rPr>
          <w:sz w:val="24"/>
          <w:szCs w:val="24"/>
          <w:highlight w:val="white"/>
        </w:rPr>
        <w:t xml:space="preserve"> and based on the grounds recognized in Article 8(3).</w:t>
      </w:r>
      <w:r>
        <w:rPr>
          <w:sz w:val="24"/>
          <w:szCs w:val="24"/>
          <w:highlight w:val="white"/>
          <w:vertAlign w:val="superscript"/>
        </w:rPr>
        <w:footnoteReference w:id="49"/>
      </w:r>
      <w:r>
        <w:rPr>
          <w:sz w:val="24"/>
          <w:szCs w:val="24"/>
          <w:highlight w:val="white"/>
        </w:rPr>
        <w:t xml:space="preserve"> Moreover, deprivation of nationality must be a proportionate measure to achieve the State</w:t>
      </w:r>
      <w:r w:rsidR="00AC504C">
        <w:rPr>
          <w:sz w:val="24"/>
          <w:szCs w:val="24"/>
          <w:highlight w:val="white"/>
        </w:rPr>
        <w:t>’s</w:t>
      </w:r>
      <w:r>
        <w:rPr>
          <w:sz w:val="24"/>
          <w:szCs w:val="24"/>
          <w:highlight w:val="white"/>
        </w:rPr>
        <w:t xml:space="preserve"> legitimate aims.</w:t>
      </w:r>
      <w:r>
        <w:rPr>
          <w:sz w:val="24"/>
          <w:szCs w:val="24"/>
          <w:highlight w:val="white"/>
          <w:vertAlign w:val="superscript"/>
        </w:rPr>
        <w:footnoteReference w:id="50"/>
      </w:r>
      <w:r>
        <w:rPr>
          <w:sz w:val="24"/>
          <w:szCs w:val="24"/>
          <w:highlight w:val="white"/>
        </w:rPr>
        <w:t xml:space="preserve"> Antrano argues that Remisia violated Article 8(1) of the CRS since </w:t>
      </w:r>
      <w:r>
        <w:rPr>
          <w:sz w:val="24"/>
          <w:szCs w:val="24"/>
          <w:highlight w:val="white"/>
        </w:rPr>
        <w:lastRenderedPageBreak/>
        <w:t xml:space="preserve">rendering the Sterren Forty stateless </w:t>
      </w:r>
      <w:r>
        <w:rPr>
          <w:b/>
          <w:sz w:val="24"/>
          <w:szCs w:val="24"/>
          <w:highlight w:val="white"/>
        </w:rPr>
        <w:t>(a)</w:t>
      </w:r>
      <w:r>
        <w:rPr>
          <w:sz w:val="24"/>
          <w:szCs w:val="24"/>
          <w:highlight w:val="white"/>
        </w:rPr>
        <w:t xml:space="preserve"> was not </w:t>
      </w:r>
      <w:r>
        <w:rPr>
          <w:sz w:val="24"/>
          <w:szCs w:val="24"/>
        </w:rPr>
        <w:t>in accordance with law,</w:t>
      </w:r>
      <w:r>
        <w:rPr>
          <w:sz w:val="24"/>
          <w:szCs w:val="24"/>
          <w:highlight w:val="white"/>
        </w:rPr>
        <w:t xml:space="preserve"> </w:t>
      </w:r>
      <w:r>
        <w:rPr>
          <w:b/>
          <w:sz w:val="24"/>
          <w:szCs w:val="24"/>
          <w:highlight w:val="white"/>
        </w:rPr>
        <w:t>(b)</w:t>
      </w:r>
      <w:r>
        <w:rPr>
          <w:sz w:val="24"/>
          <w:szCs w:val="24"/>
          <w:highlight w:val="white"/>
        </w:rPr>
        <w:t xml:space="preserve"> </w:t>
      </w:r>
      <w:r>
        <w:rPr>
          <w:sz w:val="24"/>
          <w:szCs w:val="24"/>
        </w:rPr>
        <w:t>did not fall within the grounds recognized in Article 8(3)</w:t>
      </w:r>
      <w:r w:rsidR="008B4C68">
        <w:rPr>
          <w:sz w:val="24"/>
          <w:szCs w:val="24"/>
        </w:rPr>
        <w:t>,</w:t>
      </w:r>
      <w:r>
        <w:rPr>
          <w:sz w:val="24"/>
          <w:szCs w:val="24"/>
          <w:highlight w:val="white"/>
        </w:rPr>
        <w:t xml:space="preserve"> and </w:t>
      </w:r>
      <w:r>
        <w:rPr>
          <w:b/>
          <w:sz w:val="24"/>
          <w:szCs w:val="24"/>
          <w:highlight w:val="white"/>
        </w:rPr>
        <w:t>(c)</w:t>
      </w:r>
      <w:r>
        <w:rPr>
          <w:sz w:val="24"/>
          <w:szCs w:val="24"/>
          <w:highlight w:val="white"/>
        </w:rPr>
        <w:t xml:space="preserve"> </w:t>
      </w:r>
      <w:r w:rsidR="00AC504C">
        <w:rPr>
          <w:sz w:val="24"/>
          <w:szCs w:val="24"/>
        </w:rPr>
        <w:t xml:space="preserve">was </w:t>
      </w:r>
      <w:r>
        <w:rPr>
          <w:sz w:val="24"/>
          <w:szCs w:val="24"/>
        </w:rPr>
        <w:t xml:space="preserve">disproportionate to Remisia’s legitimate aims. </w:t>
      </w:r>
    </w:p>
    <w:p w14:paraId="2EECF02B" w14:textId="06C1438A" w:rsidR="008C2177" w:rsidRPr="00290DF4" w:rsidRDefault="00000000" w:rsidP="00015CF2">
      <w:pPr>
        <w:pStyle w:val="Ttulo5"/>
        <w:numPr>
          <w:ilvl w:val="1"/>
          <w:numId w:val="30"/>
        </w:numPr>
        <w:spacing w:before="240" w:after="240" w:line="480" w:lineRule="auto"/>
        <w:jc w:val="both"/>
        <w:rPr>
          <w:b w:val="0"/>
          <w:bCs/>
          <w:i/>
          <w:iCs/>
          <w:sz w:val="24"/>
          <w:szCs w:val="24"/>
        </w:rPr>
      </w:pPr>
      <w:bookmarkStart w:id="19" w:name="_Toc155961561"/>
      <w:r w:rsidRPr="00290DF4">
        <w:rPr>
          <w:b w:val="0"/>
          <w:bCs/>
          <w:i/>
          <w:iCs/>
          <w:sz w:val="24"/>
          <w:szCs w:val="24"/>
        </w:rPr>
        <w:t>Rendering the Sterren Forty stateless was not in accordance with law pursuant to Article 8(4) of the CRS</w:t>
      </w:r>
      <w:bookmarkEnd w:id="19"/>
    </w:p>
    <w:p w14:paraId="52C66009" w14:textId="3F48AC78" w:rsidR="008C2177" w:rsidRDefault="00000000" w:rsidP="00015CF2">
      <w:pPr>
        <w:spacing w:before="240" w:after="240" w:line="480" w:lineRule="auto"/>
        <w:ind w:firstLine="720"/>
        <w:jc w:val="both"/>
        <w:rPr>
          <w:sz w:val="24"/>
          <w:szCs w:val="24"/>
        </w:rPr>
      </w:pPr>
      <w:r>
        <w:rPr>
          <w:sz w:val="24"/>
          <w:szCs w:val="24"/>
        </w:rPr>
        <w:t>Article 8(4) of the CRS provides that deprivation of nationality must be in accordance with</w:t>
      </w:r>
      <w:r w:rsidR="00FE0AD7">
        <w:rPr>
          <w:sz w:val="24"/>
          <w:szCs w:val="24"/>
        </w:rPr>
        <w:t xml:space="preserve"> </w:t>
      </w:r>
      <w:r>
        <w:rPr>
          <w:sz w:val="24"/>
          <w:szCs w:val="24"/>
        </w:rPr>
        <w:t>law.</w:t>
      </w:r>
      <w:r>
        <w:rPr>
          <w:sz w:val="24"/>
          <w:szCs w:val="24"/>
          <w:vertAlign w:val="superscript"/>
        </w:rPr>
        <w:footnoteReference w:id="51"/>
      </w:r>
      <w:r>
        <w:rPr>
          <w:sz w:val="24"/>
          <w:szCs w:val="24"/>
        </w:rPr>
        <w:t xml:space="preserve"> Domestic laws must indicate the scope of the specific actions that may trigger deprivation of nationality.</w:t>
      </w:r>
      <w:r>
        <w:rPr>
          <w:sz w:val="24"/>
          <w:szCs w:val="24"/>
          <w:vertAlign w:val="superscript"/>
        </w:rPr>
        <w:footnoteReference w:id="52"/>
      </w:r>
      <w:r>
        <w:rPr>
          <w:sz w:val="24"/>
          <w:szCs w:val="24"/>
        </w:rPr>
        <w:t xml:space="preserve"> Laws that feature ambiguous and broad terms without specifying their extent fail to comply with this requirement,</w:t>
      </w:r>
      <w:r>
        <w:rPr>
          <w:sz w:val="24"/>
          <w:szCs w:val="24"/>
          <w:vertAlign w:val="superscript"/>
        </w:rPr>
        <w:footnoteReference w:id="53"/>
      </w:r>
      <w:r>
        <w:rPr>
          <w:sz w:val="24"/>
          <w:szCs w:val="24"/>
        </w:rPr>
        <w:t xml:space="preserve"> as they grant </w:t>
      </w:r>
      <w:r w:rsidR="00FE0AD7">
        <w:rPr>
          <w:sz w:val="24"/>
          <w:szCs w:val="24"/>
        </w:rPr>
        <w:t>s</w:t>
      </w:r>
      <w:r>
        <w:rPr>
          <w:sz w:val="24"/>
          <w:szCs w:val="24"/>
        </w:rPr>
        <w:t>tates unfettered discretion to deprive nationality.</w:t>
      </w:r>
      <w:r>
        <w:rPr>
          <w:sz w:val="24"/>
          <w:szCs w:val="24"/>
          <w:vertAlign w:val="superscript"/>
        </w:rPr>
        <w:footnoteReference w:id="54"/>
      </w:r>
    </w:p>
    <w:p w14:paraId="1F5F1EE0" w14:textId="10BAA5B2" w:rsidR="008C2177" w:rsidRDefault="00000000" w:rsidP="00015CF2">
      <w:pPr>
        <w:spacing w:before="240" w:after="240" w:line="480" w:lineRule="auto"/>
        <w:ind w:firstLine="720"/>
        <w:jc w:val="both"/>
        <w:rPr>
          <w:sz w:val="24"/>
          <w:szCs w:val="24"/>
        </w:rPr>
      </w:pPr>
      <w:r>
        <w:rPr>
          <w:sz w:val="24"/>
          <w:szCs w:val="24"/>
        </w:rPr>
        <w:t xml:space="preserve">The DCA fails to determine the scope of which actions fit into ‘defames, </w:t>
      </w:r>
      <w:r w:rsidR="0021061D">
        <w:rPr>
          <w:sz w:val="24"/>
          <w:szCs w:val="24"/>
        </w:rPr>
        <w:t>insults,</w:t>
      </w:r>
      <w:r>
        <w:rPr>
          <w:sz w:val="24"/>
          <w:szCs w:val="24"/>
        </w:rPr>
        <w:t xml:space="preserve"> or threatens’ and ‘disloyalty.’</w:t>
      </w:r>
      <w:r>
        <w:rPr>
          <w:sz w:val="24"/>
          <w:szCs w:val="24"/>
          <w:vertAlign w:val="superscript"/>
        </w:rPr>
        <w:footnoteReference w:id="55"/>
      </w:r>
      <w:r>
        <w:rPr>
          <w:sz w:val="24"/>
          <w:szCs w:val="24"/>
        </w:rPr>
        <w:t xml:space="preserve"> The use of these broad terms grants Remisia unfettered discretion to apply the DCA. A similar lack of clarity has been criticized by the HRComm</w:t>
      </w:r>
      <w:r>
        <w:rPr>
          <w:sz w:val="24"/>
          <w:szCs w:val="24"/>
          <w:vertAlign w:val="superscript"/>
        </w:rPr>
        <w:footnoteReference w:id="56"/>
      </w:r>
      <w:r>
        <w:rPr>
          <w:sz w:val="24"/>
          <w:szCs w:val="24"/>
        </w:rPr>
        <w:t xml:space="preserve"> in the Thailand Criminal Code</w:t>
      </w:r>
      <w:r>
        <w:rPr>
          <w:sz w:val="24"/>
          <w:szCs w:val="24"/>
          <w:vertAlign w:val="superscript"/>
        </w:rPr>
        <w:footnoteReference w:id="57"/>
      </w:r>
      <w:r>
        <w:rPr>
          <w:sz w:val="24"/>
          <w:szCs w:val="24"/>
        </w:rPr>
        <w:t xml:space="preserve"> which employs the same ambiguous terms as the DCA.</w:t>
      </w:r>
    </w:p>
    <w:p w14:paraId="1F30368B" w14:textId="620D5F4B" w:rsidR="008C2177" w:rsidRDefault="00000000" w:rsidP="00015CF2">
      <w:pPr>
        <w:spacing w:before="240" w:after="240" w:line="480" w:lineRule="auto"/>
        <w:ind w:firstLine="720"/>
        <w:jc w:val="both"/>
        <w:rPr>
          <w:sz w:val="24"/>
          <w:szCs w:val="24"/>
        </w:rPr>
      </w:pPr>
      <w:r>
        <w:rPr>
          <w:sz w:val="24"/>
          <w:szCs w:val="24"/>
        </w:rPr>
        <w:lastRenderedPageBreak/>
        <w:t>Thereby, Rendering the Sterren Forty stateless was not in accordance with law pursuant to Article 8(4) of the CRS.</w:t>
      </w:r>
    </w:p>
    <w:p w14:paraId="17A92AB2" w14:textId="360DA912" w:rsidR="008C2177" w:rsidRPr="00290DF4" w:rsidRDefault="00000000" w:rsidP="00015CF2">
      <w:pPr>
        <w:pStyle w:val="Ttulo5"/>
        <w:numPr>
          <w:ilvl w:val="1"/>
          <w:numId w:val="30"/>
        </w:numPr>
        <w:spacing w:before="240" w:after="240" w:line="480" w:lineRule="auto"/>
        <w:jc w:val="both"/>
        <w:rPr>
          <w:b w:val="0"/>
          <w:bCs/>
          <w:i/>
          <w:iCs/>
          <w:sz w:val="24"/>
          <w:szCs w:val="24"/>
        </w:rPr>
      </w:pPr>
      <w:bookmarkStart w:id="20" w:name="_Toc155961562"/>
      <w:r w:rsidRPr="00290DF4">
        <w:rPr>
          <w:b w:val="0"/>
          <w:bCs/>
          <w:i/>
          <w:iCs/>
          <w:sz w:val="24"/>
          <w:szCs w:val="24"/>
        </w:rPr>
        <w:t>Rendering the Sterren Forty stateless did not fall within the grounds recognized in Article 8(3) of the CRS</w:t>
      </w:r>
      <w:bookmarkEnd w:id="20"/>
    </w:p>
    <w:p w14:paraId="4FD7AAFB" w14:textId="3B000A07" w:rsidR="008C2177" w:rsidRDefault="00000000" w:rsidP="00015CF2">
      <w:pPr>
        <w:shd w:val="clear" w:color="auto" w:fill="FFFFFF"/>
        <w:spacing w:before="240" w:after="240" w:line="480" w:lineRule="auto"/>
        <w:ind w:firstLine="720"/>
        <w:jc w:val="both"/>
        <w:rPr>
          <w:sz w:val="24"/>
          <w:szCs w:val="24"/>
        </w:rPr>
      </w:pPr>
      <w:r>
        <w:rPr>
          <w:sz w:val="24"/>
          <w:szCs w:val="24"/>
        </w:rPr>
        <w:t>Under Article 8(3) of the CRS,</w:t>
      </w:r>
      <w:r w:rsidR="000E212C">
        <w:rPr>
          <w:sz w:val="24"/>
          <w:szCs w:val="24"/>
        </w:rPr>
        <w:fldChar w:fldCharType="begin"/>
      </w:r>
      <w:r w:rsidR="000E212C">
        <w:instrText xml:space="preserve"> TA \s "CRS," </w:instrText>
      </w:r>
      <w:r w:rsidR="000E212C">
        <w:rPr>
          <w:sz w:val="24"/>
          <w:szCs w:val="24"/>
        </w:rPr>
        <w:fldChar w:fldCharType="end"/>
      </w:r>
      <w:r w:rsidR="00B16E0A">
        <w:rPr>
          <w:sz w:val="24"/>
          <w:szCs w:val="24"/>
        </w:rPr>
        <w:t xml:space="preserve"> </w:t>
      </w:r>
      <w:r>
        <w:rPr>
          <w:sz w:val="24"/>
          <w:szCs w:val="24"/>
        </w:rPr>
        <w:t xml:space="preserve">the conduct of citizens inconsistent with their duty of loyalty to their State is a ground for </w:t>
      </w:r>
      <w:r w:rsidR="00FE0AD7">
        <w:rPr>
          <w:sz w:val="24"/>
          <w:szCs w:val="24"/>
        </w:rPr>
        <w:t>depriving</w:t>
      </w:r>
      <w:r>
        <w:rPr>
          <w:sz w:val="24"/>
          <w:szCs w:val="24"/>
        </w:rPr>
        <w:t xml:space="preserve"> their nationality.</w:t>
      </w:r>
      <w:r>
        <w:rPr>
          <w:sz w:val="24"/>
          <w:szCs w:val="24"/>
          <w:vertAlign w:val="superscript"/>
        </w:rPr>
        <w:footnoteReference w:id="58"/>
      </w:r>
      <w:r>
        <w:rPr>
          <w:sz w:val="24"/>
          <w:szCs w:val="24"/>
        </w:rPr>
        <w:t xml:space="preserve"> This duty is only violated when the individual </w:t>
      </w:r>
      <w:r w:rsidR="00637E3F">
        <w:rPr>
          <w:sz w:val="24"/>
          <w:szCs w:val="24"/>
        </w:rPr>
        <w:t xml:space="preserve">has </w:t>
      </w:r>
      <w:r>
        <w:rPr>
          <w:sz w:val="24"/>
          <w:szCs w:val="24"/>
        </w:rPr>
        <w:t>rendered services to other States,</w:t>
      </w:r>
      <w:r>
        <w:rPr>
          <w:sz w:val="24"/>
          <w:szCs w:val="24"/>
          <w:vertAlign w:val="superscript"/>
        </w:rPr>
        <w:footnoteReference w:id="59"/>
      </w:r>
      <w:r>
        <w:rPr>
          <w:sz w:val="24"/>
          <w:szCs w:val="24"/>
        </w:rPr>
        <w:t xml:space="preserve"> or when </w:t>
      </w:r>
      <w:r w:rsidR="00760D7D">
        <w:rPr>
          <w:sz w:val="24"/>
          <w:szCs w:val="24"/>
        </w:rPr>
        <w:t>a citizen’s</w:t>
      </w:r>
      <w:r w:rsidR="00637E3F">
        <w:rPr>
          <w:sz w:val="24"/>
          <w:szCs w:val="24"/>
        </w:rPr>
        <w:t xml:space="preserve"> </w:t>
      </w:r>
      <w:r>
        <w:rPr>
          <w:sz w:val="24"/>
          <w:szCs w:val="24"/>
        </w:rPr>
        <w:t>actions seriously prejudice the vital interests of the State.</w:t>
      </w:r>
      <w:r>
        <w:rPr>
          <w:sz w:val="24"/>
          <w:szCs w:val="24"/>
          <w:vertAlign w:val="superscript"/>
        </w:rPr>
        <w:footnoteReference w:id="60"/>
      </w:r>
      <w:r>
        <w:rPr>
          <w:sz w:val="24"/>
          <w:szCs w:val="24"/>
        </w:rPr>
        <w:t xml:space="preserve"> In accordance with the </w:t>
      </w:r>
      <w:r>
        <w:rPr>
          <w:i/>
          <w:sz w:val="24"/>
          <w:szCs w:val="24"/>
        </w:rPr>
        <w:t>travaux préparatoires</w:t>
      </w:r>
      <w:r>
        <w:rPr>
          <w:sz w:val="24"/>
          <w:szCs w:val="24"/>
        </w:rPr>
        <w:t xml:space="preserve"> of the CRS,</w:t>
      </w:r>
      <w:r>
        <w:rPr>
          <w:sz w:val="24"/>
          <w:szCs w:val="24"/>
          <w:vertAlign w:val="superscript"/>
        </w:rPr>
        <w:footnoteReference w:id="61"/>
      </w:r>
      <w:r>
        <w:rPr>
          <w:sz w:val="24"/>
          <w:szCs w:val="24"/>
        </w:rPr>
        <w:t xml:space="preserve"> ‘State’s vital interests’ indicate that the conduct covered by this exception must threaten the foundations and organization of the State.</w:t>
      </w:r>
      <w:r>
        <w:rPr>
          <w:sz w:val="24"/>
          <w:szCs w:val="24"/>
          <w:vertAlign w:val="superscript"/>
        </w:rPr>
        <w:footnoteReference w:id="62"/>
      </w:r>
      <w:r>
        <w:rPr>
          <w:sz w:val="24"/>
          <w:szCs w:val="24"/>
        </w:rPr>
        <w:t xml:space="preserve"> Depriving citizenship as a punishment for criminal offenses is not a legitimate ground </w:t>
      </w:r>
      <w:r w:rsidR="00020D9F">
        <w:rPr>
          <w:sz w:val="24"/>
          <w:szCs w:val="24"/>
        </w:rPr>
        <w:t>recognized by the CRS</w:t>
      </w:r>
      <w:r>
        <w:rPr>
          <w:sz w:val="24"/>
          <w:szCs w:val="24"/>
        </w:rPr>
        <w:t>.</w:t>
      </w:r>
      <w:r>
        <w:rPr>
          <w:sz w:val="24"/>
          <w:szCs w:val="24"/>
          <w:vertAlign w:val="superscript"/>
        </w:rPr>
        <w:footnoteReference w:id="63"/>
      </w:r>
      <w:r>
        <w:rPr>
          <w:sz w:val="24"/>
          <w:szCs w:val="24"/>
        </w:rPr>
        <w:t xml:space="preserve"> </w:t>
      </w:r>
    </w:p>
    <w:p w14:paraId="1FC7417E" w14:textId="45D63675" w:rsidR="008C2177" w:rsidRDefault="00000000" w:rsidP="00015CF2">
      <w:pPr>
        <w:shd w:val="clear" w:color="auto" w:fill="FFFFFF"/>
        <w:spacing w:before="240" w:after="240" w:line="480" w:lineRule="auto"/>
        <w:ind w:firstLine="720"/>
        <w:jc w:val="both"/>
        <w:rPr>
          <w:b/>
          <w:sz w:val="24"/>
          <w:szCs w:val="24"/>
        </w:rPr>
      </w:pPr>
      <w:r>
        <w:rPr>
          <w:sz w:val="24"/>
          <w:szCs w:val="24"/>
          <w:highlight w:val="white"/>
        </w:rPr>
        <w:t xml:space="preserve"> The Sterren Forty did not render services to other States, and their conduct did not affect Remisia’s vital interests. They were students who pacifically protested outside the gates of the </w:t>
      </w:r>
      <w:r>
        <w:rPr>
          <w:sz w:val="24"/>
          <w:szCs w:val="24"/>
          <w:highlight w:val="white"/>
        </w:rPr>
        <w:lastRenderedPageBreak/>
        <w:t>Sterren Palace,</w:t>
      </w:r>
      <w:r>
        <w:rPr>
          <w:sz w:val="24"/>
          <w:szCs w:val="24"/>
          <w:highlight w:val="white"/>
          <w:vertAlign w:val="superscript"/>
        </w:rPr>
        <w:footnoteReference w:id="64"/>
      </w:r>
      <w:r>
        <w:rPr>
          <w:sz w:val="24"/>
          <w:szCs w:val="24"/>
          <w:highlight w:val="white"/>
        </w:rPr>
        <w:t xml:space="preserve"> and posed no threat to Remisia’s</w:t>
      </w:r>
      <w:r>
        <w:rPr>
          <w:sz w:val="24"/>
          <w:szCs w:val="24"/>
        </w:rPr>
        <w:t xml:space="preserve"> foundations or organization</w:t>
      </w:r>
      <w:r>
        <w:rPr>
          <w:sz w:val="24"/>
          <w:szCs w:val="24"/>
          <w:highlight w:val="white"/>
        </w:rPr>
        <w:t>. Instead, the Sterren Forty</w:t>
      </w:r>
      <w:r w:rsidR="00AD696D">
        <w:rPr>
          <w:sz w:val="24"/>
          <w:szCs w:val="24"/>
          <w:highlight w:val="white"/>
        </w:rPr>
        <w:t>’</w:t>
      </w:r>
      <w:r>
        <w:rPr>
          <w:sz w:val="24"/>
          <w:szCs w:val="24"/>
          <w:highlight w:val="white"/>
        </w:rPr>
        <w:t>s deprivation of nationality was a punishment imposed by Remisia for a criminal offense committed under the DCA</w:t>
      </w:r>
      <w:r>
        <w:rPr>
          <w:sz w:val="24"/>
          <w:szCs w:val="24"/>
          <w:highlight w:val="white"/>
          <w:vertAlign w:val="superscript"/>
        </w:rPr>
        <w:footnoteReference w:id="65"/>
      </w:r>
      <w:r>
        <w:rPr>
          <w:sz w:val="24"/>
          <w:szCs w:val="24"/>
          <w:highlight w:val="white"/>
        </w:rPr>
        <w:t xml:space="preserve"> and </w:t>
      </w:r>
      <w:r>
        <w:rPr>
          <w:sz w:val="24"/>
          <w:szCs w:val="24"/>
        </w:rPr>
        <w:t>did not fall within the grounds recognized in Article 8(3) of the CRS.</w:t>
      </w:r>
    </w:p>
    <w:p w14:paraId="3A283E3D" w14:textId="77777777" w:rsidR="008C2177" w:rsidRPr="00290DF4" w:rsidRDefault="00000000" w:rsidP="00015CF2">
      <w:pPr>
        <w:pStyle w:val="Ttulo5"/>
        <w:numPr>
          <w:ilvl w:val="1"/>
          <w:numId w:val="30"/>
        </w:numPr>
        <w:spacing w:before="240" w:after="240" w:line="480" w:lineRule="auto"/>
        <w:jc w:val="both"/>
        <w:rPr>
          <w:b w:val="0"/>
          <w:bCs/>
          <w:i/>
          <w:iCs/>
          <w:sz w:val="24"/>
          <w:szCs w:val="24"/>
        </w:rPr>
      </w:pPr>
      <w:bookmarkStart w:id="21" w:name="_Toc155961563"/>
      <w:r w:rsidRPr="00290DF4">
        <w:rPr>
          <w:b w:val="0"/>
          <w:bCs/>
          <w:i/>
          <w:iCs/>
          <w:sz w:val="24"/>
          <w:szCs w:val="24"/>
        </w:rPr>
        <w:t>Rendering the Sterren Forty stateless was disproportionate to achieve Remisia’s aims</w:t>
      </w:r>
      <w:bookmarkEnd w:id="21"/>
      <w:r w:rsidRPr="00290DF4">
        <w:rPr>
          <w:b w:val="0"/>
          <w:bCs/>
          <w:i/>
          <w:iCs/>
          <w:sz w:val="24"/>
          <w:szCs w:val="24"/>
        </w:rPr>
        <w:t xml:space="preserve"> </w:t>
      </w:r>
    </w:p>
    <w:p w14:paraId="34E87E3B" w14:textId="46D6F122" w:rsidR="008C2177" w:rsidRDefault="00000000" w:rsidP="00015CF2">
      <w:pPr>
        <w:spacing w:before="240" w:after="240" w:line="480" w:lineRule="auto"/>
        <w:ind w:firstLine="720"/>
        <w:jc w:val="both"/>
        <w:rPr>
          <w:sz w:val="24"/>
          <w:szCs w:val="24"/>
        </w:rPr>
      </w:pPr>
      <w:r>
        <w:rPr>
          <w:sz w:val="24"/>
          <w:szCs w:val="24"/>
        </w:rPr>
        <w:t>Because of the seriousness of its effects, deprivation of nationality must be proportional to the aims pursued.</w:t>
      </w:r>
      <w:r>
        <w:rPr>
          <w:sz w:val="24"/>
          <w:szCs w:val="24"/>
          <w:vertAlign w:val="superscript"/>
        </w:rPr>
        <w:footnoteReference w:id="66"/>
      </w:r>
      <w:r>
        <w:rPr>
          <w:sz w:val="24"/>
          <w:szCs w:val="24"/>
        </w:rPr>
        <w:t xml:space="preserve"> As stated above, the aim Remisia pursued when depriving the Sterren Forty’s nationality was criminal justice.</w:t>
      </w:r>
      <w:r>
        <w:rPr>
          <w:sz w:val="24"/>
          <w:szCs w:val="24"/>
          <w:vertAlign w:val="superscript"/>
        </w:rPr>
        <w:footnoteReference w:id="67"/>
      </w:r>
      <w:r>
        <w:rPr>
          <w:sz w:val="24"/>
          <w:szCs w:val="24"/>
        </w:rPr>
        <w:t xml:space="preserve"> The State must assess the achievement of that aim against the consequences for the people whose nationality ha</w:t>
      </w:r>
      <w:r w:rsidR="00760D7D">
        <w:rPr>
          <w:sz w:val="24"/>
          <w:szCs w:val="24"/>
        </w:rPr>
        <w:t>s</w:t>
      </w:r>
      <w:r w:rsidR="0021061D">
        <w:rPr>
          <w:sz w:val="24"/>
          <w:szCs w:val="24"/>
        </w:rPr>
        <w:t xml:space="preserve"> </w:t>
      </w:r>
      <w:r>
        <w:rPr>
          <w:sz w:val="24"/>
          <w:szCs w:val="24"/>
        </w:rPr>
        <w:t>been deprived,</w:t>
      </w:r>
      <w:r>
        <w:rPr>
          <w:sz w:val="24"/>
          <w:szCs w:val="24"/>
          <w:vertAlign w:val="superscript"/>
        </w:rPr>
        <w:footnoteReference w:id="68"/>
      </w:r>
      <w:r>
        <w:rPr>
          <w:sz w:val="24"/>
          <w:szCs w:val="24"/>
        </w:rPr>
        <w:t xml:space="preserve"> including the exercise and enjoyment of their human rights.</w:t>
      </w:r>
      <w:r>
        <w:rPr>
          <w:sz w:val="24"/>
          <w:szCs w:val="24"/>
          <w:vertAlign w:val="superscript"/>
        </w:rPr>
        <w:footnoteReference w:id="69"/>
      </w:r>
      <w:r>
        <w:rPr>
          <w:sz w:val="24"/>
          <w:szCs w:val="24"/>
        </w:rPr>
        <w:t xml:space="preserve">  Deprivation of nationality must be also the least intrusive mean to achieve that aim</w:t>
      </w:r>
      <w:r w:rsidR="00020D9F">
        <w:rPr>
          <w:sz w:val="24"/>
          <w:szCs w:val="24"/>
        </w:rPr>
        <w:t>,</w:t>
      </w:r>
      <w:r>
        <w:rPr>
          <w:sz w:val="24"/>
          <w:szCs w:val="24"/>
          <w:vertAlign w:val="superscript"/>
        </w:rPr>
        <w:footnoteReference w:id="70"/>
      </w:r>
      <w:r>
        <w:rPr>
          <w:sz w:val="24"/>
          <w:szCs w:val="24"/>
        </w:rPr>
        <w:t xml:space="preserve"> and includes consideration of whether criminal justice could </w:t>
      </w:r>
      <w:r>
        <w:rPr>
          <w:sz w:val="24"/>
          <w:szCs w:val="24"/>
        </w:rPr>
        <w:lastRenderedPageBreak/>
        <w:t>be achieved through other available means.</w:t>
      </w:r>
      <w:r>
        <w:rPr>
          <w:sz w:val="24"/>
          <w:szCs w:val="24"/>
          <w:vertAlign w:val="superscript"/>
        </w:rPr>
        <w:footnoteReference w:id="71"/>
      </w:r>
      <w:r>
        <w:rPr>
          <w:sz w:val="24"/>
          <w:szCs w:val="24"/>
        </w:rPr>
        <w:t xml:space="preserve">  </w:t>
      </w:r>
    </w:p>
    <w:p w14:paraId="563F6FA1" w14:textId="7B4BC5A0" w:rsidR="008C2177" w:rsidRDefault="00000000" w:rsidP="00015CF2">
      <w:pPr>
        <w:spacing w:before="240" w:after="240" w:line="480" w:lineRule="auto"/>
        <w:ind w:firstLine="720"/>
        <w:jc w:val="both"/>
        <w:rPr>
          <w:sz w:val="24"/>
          <w:szCs w:val="24"/>
        </w:rPr>
      </w:pPr>
      <w:r>
        <w:rPr>
          <w:sz w:val="24"/>
          <w:szCs w:val="24"/>
        </w:rPr>
        <w:t>The deprivation of the Sterren Forty’s nationality was a disproportionate measure in relation to the criminal justice Remisia sought to achieve.</w:t>
      </w:r>
      <w:r>
        <w:rPr>
          <w:sz w:val="24"/>
          <w:szCs w:val="24"/>
          <w:vertAlign w:val="superscript"/>
        </w:rPr>
        <w:footnoteReference w:id="72"/>
      </w:r>
      <w:r>
        <w:rPr>
          <w:sz w:val="24"/>
          <w:szCs w:val="24"/>
        </w:rPr>
        <w:t xml:space="preserve"> Firstly, the Sterren Forty were rendered stateless</w:t>
      </w:r>
      <w:r>
        <w:rPr>
          <w:sz w:val="24"/>
          <w:szCs w:val="24"/>
          <w:vertAlign w:val="superscript"/>
        </w:rPr>
        <w:footnoteReference w:id="73"/>
      </w:r>
      <w:r>
        <w:rPr>
          <w:sz w:val="24"/>
          <w:szCs w:val="24"/>
        </w:rPr>
        <w:t xml:space="preserve"> which limits the exercise and enjoyment of their other human rights.</w:t>
      </w:r>
      <w:r>
        <w:rPr>
          <w:sz w:val="24"/>
          <w:szCs w:val="24"/>
          <w:vertAlign w:val="superscript"/>
        </w:rPr>
        <w:footnoteReference w:id="74"/>
      </w:r>
      <w:r>
        <w:rPr>
          <w:sz w:val="24"/>
          <w:szCs w:val="24"/>
        </w:rPr>
        <w:t xml:space="preserve"> Remisia had at its disposal other available means to punish the Sterren Forty, such as the </w:t>
      </w:r>
      <w:r w:rsidR="00760D7D">
        <w:rPr>
          <w:sz w:val="24"/>
          <w:szCs w:val="24"/>
        </w:rPr>
        <w:t>one-to-</w:t>
      </w:r>
      <w:r>
        <w:rPr>
          <w:sz w:val="24"/>
          <w:szCs w:val="24"/>
        </w:rPr>
        <w:t>three-year imprisonment sentence</w:t>
      </w:r>
      <w:r w:rsidR="00D52CF9">
        <w:rPr>
          <w:sz w:val="24"/>
          <w:szCs w:val="24"/>
        </w:rPr>
        <w:t>s</w:t>
      </w:r>
      <w:r>
        <w:rPr>
          <w:sz w:val="24"/>
          <w:szCs w:val="24"/>
        </w:rPr>
        <w:t xml:space="preserve"> imposed on the other 190 students.</w:t>
      </w:r>
      <w:r>
        <w:rPr>
          <w:sz w:val="24"/>
          <w:szCs w:val="24"/>
          <w:vertAlign w:val="superscript"/>
        </w:rPr>
        <w:footnoteReference w:id="75"/>
      </w:r>
      <w:r>
        <w:rPr>
          <w:sz w:val="24"/>
          <w:szCs w:val="24"/>
        </w:rPr>
        <w:t xml:space="preserve"> This implies that the deprivation of nationality was not the least intrusive means Remisia could use to achieve the aim pursued.  </w:t>
      </w:r>
    </w:p>
    <w:p w14:paraId="5AAA574B" w14:textId="77777777" w:rsidR="008C2177" w:rsidRDefault="00000000" w:rsidP="00015CF2">
      <w:pPr>
        <w:spacing w:before="240" w:after="240" w:line="480" w:lineRule="auto"/>
        <w:ind w:firstLine="720"/>
        <w:jc w:val="both"/>
        <w:rPr>
          <w:sz w:val="24"/>
          <w:szCs w:val="24"/>
        </w:rPr>
      </w:pPr>
      <w:r>
        <w:rPr>
          <w:sz w:val="24"/>
          <w:szCs w:val="24"/>
        </w:rPr>
        <w:t>Thus, rendering the Sterren Forty stateless was disproportionate to achieve Remisia’s aims.</w:t>
      </w:r>
    </w:p>
    <w:p w14:paraId="53E3AFFC" w14:textId="45F408A9" w:rsidR="008C2177" w:rsidRPr="00290DF4" w:rsidRDefault="00000000" w:rsidP="00015CF2">
      <w:pPr>
        <w:pStyle w:val="Ttulo4"/>
        <w:numPr>
          <w:ilvl w:val="0"/>
          <w:numId w:val="30"/>
        </w:numPr>
        <w:spacing w:after="240" w:line="480" w:lineRule="auto"/>
        <w:jc w:val="both"/>
        <w:rPr>
          <w:b w:val="0"/>
          <w:bCs/>
          <w:highlight w:val="white"/>
          <w:u w:val="single"/>
        </w:rPr>
      </w:pPr>
      <w:bookmarkStart w:id="22" w:name="_Toc155961564"/>
      <w:r w:rsidRPr="00290DF4">
        <w:rPr>
          <w:b w:val="0"/>
          <w:bCs/>
          <w:highlight w:val="white"/>
          <w:u w:val="single"/>
        </w:rPr>
        <w:t>Remisia violated Article 9 of the CRS</w:t>
      </w:r>
      <w:bookmarkEnd w:id="22"/>
    </w:p>
    <w:p w14:paraId="60E34B49" w14:textId="3DFD1349" w:rsidR="008C2177" w:rsidRDefault="00000000" w:rsidP="00015CF2">
      <w:pPr>
        <w:spacing w:before="240" w:after="240" w:line="480" w:lineRule="auto"/>
        <w:ind w:firstLine="720"/>
        <w:jc w:val="both"/>
        <w:rPr>
          <w:sz w:val="24"/>
          <w:szCs w:val="24"/>
        </w:rPr>
      </w:pPr>
      <w:r>
        <w:rPr>
          <w:sz w:val="24"/>
          <w:szCs w:val="24"/>
        </w:rPr>
        <w:t>Article 9 of the CRS enshrines the principle of non-discrimination concerning the deprivation of nationality.</w:t>
      </w:r>
      <w:r>
        <w:rPr>
          <w:sz w:val="24"/>
          <w:szCs w:val="24"/>
          <w:vertAlign w:val="superscript"/>
        </w:rPr>
        <w:footnoteReference w:id="76"/>
      </w:r>
      <w:r>
        <w:rPr>
          <w:sz w:val="24"/>
          <w:szCs w:val="24"/>
        </w:rPr>
        <w:t xml:space="preserve"> It expressly prohibits </w:t>
      </w:r>
      <w:r w:rsidR="00020D9F">
        <w:rPr>
          <w:sz w:val="24"/>
          <w:szCs w:val="24"/>
        </w:rPr>
        <w:t>s</w:t>
      </w:r>
      <w:r>
        <w:rPr>
          <w:sz w:val="24"/>
          <w:szCs w:val="24"/>
        </w:rPr>
        <w:t>tates from depriving any group of persons of their nationality on political grounds.</w:t>
      </w:r>
      <w:r>
        <w:rPr>
          <w:sz w:val="24"/>
          <w:szCs w:val="24"/>
          <w:vertAlign w:val="superscript"/>
        </w:rPr>
        <w:footnoteReference w:id="77"/>
      </w:r>
      <w:r>
        <w:rPr>
          <w:sz w:val="24"/>
          <w:szCs w:val="24"/>
        </w:rPr>
        <w:t xml:space="preserve"> As held by the United Nations High Commissioner for Refugees in interpreting this Article, deprivation of nationality grounded in conduct aligned with </w:t>
      </w:r>
      <w:r>
        <w:rPr>
          <w:sz w:val="24"/>
          <w:szCs w:val="24"/>
        </w:rPr>
        <w:lastRenderedPageBreak/>
        <w:t>an individual’s political opinion is inherently discriminatory.</w:t>
      </w:r>
      <w:r>
        <w:rPr>
          <w:sz w:val="24"/>
          <w:szCs w:val="24"/>
          <w:vertAlign w:val="superscript"/>
        </w:rPr>
        <w:footnoteReference w:id="78"/>
      </w:r>
      <w:r>
        <w:rPr>
          <w:sz w:val="24"/>
          <w:szCs w:val="24"/>
        </w:rPr>
        <w:t xml:space="preserve"> </w:t>
      </w:r>
    </w:p>
    <w:p w14:paraId="0ACC0936" w14:textId="50779D32" w:rsidR="008C2177" w:rsidRDefault="00000000" w:rsidP="00015CF2">
      <w:pPr>
        <w:shd w:val="clear" w:color="auto" w:fill="FFFFFF"/>
        <w:spacing w:before="240" w:after="240" w:line="480" w:lineRule="auto"/>
        <w:ind w:firstLine="720"/>
        <w:jc w:val="both"/>
        <w:rPr>
          <w:sz w:val="24"/>
          <w:szCs w:val="24"/>
        </w:rPr>
      </w:pPr>
      <w:r>
        <w:rPr>
          <w:sz w:val="24"/>
          <w:szCs w:val="24"/>
        </w:rPr>
        <w:t>Remisia discriminated</w:t>
      </w:r>
      <w:r w:rsidR="00D52CF9">
        <w:rPr>
          <w:sz w:val="24"/>
          <w:szCs w:val="24"/>
        </w:rPr>
        <w:t xml:space="preserve"> against</w:t>
      </w:r>
      <w:r>
        <w:rPr>
          <w:sz w:val="24"/>
          <w:szCs w:val="24"/>
        </w:rPr>
        <w:t xml:space="preserve"> the Sterren Forty on political grounds by denying them their nationality. They were the first Remisian nationals prosecuted to the fullest extent of the DCA,</w:t>
      </w:r>
      <w:r>
        <w:rPr>
          <w:sz w:val="24"/>
          <w:szCs w:val="24"/>
          <w:vertAlign w:val="superscript"/>
        </w:rPr>
        <w:footnoteReference w:id="79"/>
      </w:r>
      <w:r>
        <w:rPr>
          <w:sz w:val="24"/>
          <w:szCs w:val="24"/>
        </w:rPr>
        <w:t xml:space="preserve"> </w:t>
      </w:r>
      <w:r w:rsidR="00D52CF9">
        <w:rPr>
          <w:sz w:val="24"/>
          <w:szCs w:val="24"/>
        </w:rPr>
        <w:t xml:space="preserve">being deprived of </w:t>
      </w:r>
      <w:r>
        <w:rPr>
          <w:sz w:val="24"/>
          <w:szCs w:val="24"/>
        </w:rPr>
        <w:t xml:space="preserve">their nationality based on their acts and </w:t>
      </w:r>
      <w:r w:rsidR="00B271FF">
        <w:rPr>
          <w:sz w:val="24"/>
          <w:szCs w:val="24"/>
        </w:rPr>
        <w:t xml:space="preserve">political </w:t>
      </w:r>
      <w:r>
        <w:rPr>
          <w:sz w:val="24"/>
          <w:szCs w:val="24"/>
        </w:rPr>
        <w:t>speech</w:t>
      </w:r>
      <w:r w:rsidR="00760D7D">
        <w:rPr>
          <w:sz w:val="24"/>
          <w:szCs w:val="24"/>
        </w:rPr>
        <w:t xml:space="preserve"> in the protest</w:t>
      </w:r>
      <w:r>
        <w:rPr>
          <w:sz w:val="24"/>
          <w:szCs w:val="24"/>
        </w:rPr>
        <w:t>.</w:t>
      </w:r>
      <w:r>
        <w:rPr>
          <w:sz w:val="24"/>
          <w:szCs w:val="24"/>
          <w:vertAlign w:val="superscript"/>
        </w:rPr>
        <w:footnoteReference w:id="80"/>
      </w:r>
      <w:r>
        <w:rPr>
          <w:sz w:val="24"/>
          <w:szCs w:val="24"/>
        </w:rPr>
        <w:t xml:space="preserve"> Consequently, the </w:t>
      </w:r>
      <w:r w:rsidR="007D1B71">
        <w:rPr>
          <w:sz w:val="24"/>
          <w:szCs w:val="24"/>
        </w:rPr>
        <w:t>Remisia</w:t>
      </w:r>
      <w:r>
        <w:rPr>
          <w:sz w:val="24"/>
          <w:szCs w:val="24"/>
        </w:rPr>
        <w:t xml:space="preserve"> targeted the Sterren Forty under this provision </w:t>
      </w:r>
      <w:r w:rsidR="00FF1677">
        <w:rPr>
          <w:sz w:val="24"/>
          <w:szCs w:val="24"/>
        </w:rPr>
        <w:t xml:space="preserve">exclusively </w:t>
      </w:r>
      <w:r>
        <w:rPr>
          <w:sz w:val="24"/>
          <w:szCs w:val="24"/>
        </w:rPr>
        <w:t xml:space="preserve">for expressing their political opinions against </w:t>
      </w:r>
      <w:r w:rsidR="00204F74">
        <w:rPr>
          <w:sz w:val="24"/>
          <w:szCs w:val="24"/>
        </w:rPr>
        <w:t>its</w:t>
      </w:r>
      <w:r>
        <w:rPr>
          <w:sz w:val="24"/>
          <w:szCs w:val="24"/>
        </w:rPr>
        <w:t xml:space="preserve"> </w:t>
      </w:r>
      <w:r w:rsidR="00204F74">
        <w:rPr>
          <w:sz w:val="24"/>
          <w:szCs w:val="24"/>
        </w:rPr>
        <w:t>g</w:t>
      </w:r>
      <w:r>
        <w:rPr>
          <w:sz w:val="24"/>
          <w:szCs w:val="24"/>
        </w:rPr>
        <w:t>overnment.</w:t>
      </w:r>
      <w:r>
        <w:rPr>
          <w:sz w:val="24"/>
          <w:szCs w:val="24"/>
          <w:vertAlign w:val="superscript"/>
        </w:rPr>
        <w:footnoteReference w:id="81"/>
      </w:r>
    </w:p>
    <w:p w14:paraId="508A205A" w14:textId="23A8DF67" w:rsidR="008C2177" w:rsidRDefault="00000000" w:rsidP="00015CF2">
      <w:pPr>
        <w:spacing w:before="240" w:after="240" w:line="480" w:lineRule="auto"/>
        <w:ind w:firstLine="720"/>
        <w:jc w:val="both"/>
        <w:rPr>
          <w:sz w:val="24"/>
          <w:szCs w:val="24"/>
          <w:highlight w:val="white"/>
        </w:rPr>
      </w:pPr>
      <w:r>
        <w:rPr>
          <w:sz w:val="24"/>
          <w:szCs w:val="24"/>
          <w:highlight w:val="white"/>
        </w:rPr>
        <w:t xml:space="preserve">Thereby, Remisia violated Article 9 </w:t>
      </w:r>
      <w:r>
        <w:rPr>
          <w:sz w:val="24"/>
          <w:szCs w:val="24"/>
        </w:rPr>
        <w:t>of</w:t>
      </w:r>
      <w:r>
        <w:rPr>
          <w:sz w:val="24"/>
          <w:szCs w:val="24"/>
          <w:highlight w:val="white"/>
        </w:rPr>
        <w:t xml:space="preserve"> the CRS for depriving the Sterren Forty of their nationality as a discriminatory measure against their political opinion.</w:t>
      </w:r>
    </w:p>
    <w:p w14:paraId="5E07FE53" w14:textId="208F484A" w:rsidR="008C2177" w:rsidRPr="00290DF4" w:rsidRDefault="00000000" w:rsidP="00015CF2">
      <w:pPr>
        <w:pStyle w:val="Ttulo4"/>
        <w:numPr>
          <w:ilvl w:val="0"/>
          <w:numId w:val="30"/>
        </w:numPr>
        <w:spacing w:after="240" w:line="480" w:lineRule="auto"/>
        <w:jc w:val="both"/>
        <w:rPr>
          <w:b w:val="0"/>
          <w:bCs/>
          <w:highlight w:val="white"/>
          <w:u w:val="single"/>
        </w:rPr>
      </w:pPr>
      <w:bookmarkStart w:id="23" w:name="_Toc155961565"/>
      <w:r w:rsidRPr="00290DF4">
        <w:rPr>
          <w:b w:val="0"/>
          <w:bCs/>
          <w:highlight w:val="white"/>
          <w:u w:val="single"/>
        </w:rPr>
        <w:t>Furthermore, Remisia cannot rely on Article 8(3) of the CRS to render Sterren Forty stateless</w:t>
      </w:r>
      <w:bookmarkEnd w:id="23"/>
    </w:p>
    <w:p w14:paraId="73B4A9FD" w14:textId="33D4F881" w:rsidR="008C2177" w:rsidRDefault="00000000" w:rsidP="00015CF2">
      <w:pPr>
        <w:spacing w:before="240" w:after="240" w:line="480" w:lineRule="auto"/>
        <w:ind w:firstLine="720"/>
        <w:jc w:val="both"/>
        <w:rPr>
          <w:sz w:val="24"/>
          <w:szCs w:val="24"/>
        </w:rPr>
      </w:pPr>
      <w:r>
        <w:rPr>
          <w:sz w:val="24"/>
          <w:szCs w:val="24"/>
          <w:highlight w:val="white"/>
        </w:rPr>
        <w:t>As an exception to Article 8(1), Article 8(3) of the CRS allows State parties to submit declarations which enable them to retain the right to deprive nationality in specific circumstances.</w:t>
      </w:r>
      <w:r>
        <w:rPr>
          <w:sz w:val="24"/>
          <w:szCs w:val="24"/>
          <w:highlight w:val="white"/>
          <w:vertAlign w:val="superscript"/>
        </w:rPr>
        <w:footnoteReference w:id="82"/>
      </w:r>
      <w:r>
        <w:rPr>
          <w:sz w:val="24"/>
          <w:szCs w:val="24"/>
          <w:highlight w:val="white"/>
        </w:rPr>
        <w:t xml:space="preserve"> However,</w:t>
      </w:r>
      <w:r>
        <w:rPr>
          <w:sz w:val="24"/>
          <w:szCs w:val="24"/>
        </w:rPr>
        <w:t xml:space="preserve"> if the</w:t>
      </w:r>
      <w:r w:rsidR="00EB5F3E">
        <w:rPr>
          <w:sz w:val="24"/>
          <w:szCs w:val="24"/>
        </w:rPr>
        <w:t xml:space="preserve"> statement</w:t>
      </w:r>
      <w:r>
        <w:rPr>
          <w:sz w:val="24"/>
          <w:szCs w:val="24"/>
        </w:rPr>
        <w:t xml:space="preserve"> pretends to exclude the State from an obligation contained in the treaty, it constitutes a reservation.</w:t>
      </w:r>
      <w:r>
        <w:rPr>
          <w:sz w:val="24"/>
          <w:szCs w:val="24"/>
          <w:vertAlign w:val="superscript"/>
        </w:rPr>
        <w:footnoteReference w:id="83"/>
      </w:r>
      <w:r>
        <w:rPr>
          <w:sz w:val="24"/>
          <w:szCs w:val="24"/>
        </w:rPr>
        <w:t xml:space="preserve"> In this regard, reservations that are </w:t>
      </w:r>
      <w:r>
        <w:rPr>
          <w:sz w:val="24"/>
          <w:szCs w:val="24"/>
        </w:rPr>
        <w:lastRenderedPageBreak/>
        <w:t>incompatible with the object and purpose of the treaty are invalid.</w:t>
      </w:r>
      <w:r>
        <w:rPr>
          <w:sz w:val="24"/>
          <w:szCs w:val="24"/>
          <w:vertAlign w:val="superscript"/>
        </w:rPr>
        <w:footnoteReference w:id="84"/>
      </w:r>
      <w:r>
        <w:rPr>
          <w:sz w:val="24"/>
          <w:szCs w:val="24"/>
        </w:rPr>
        <w:t xml:space="preserve"> </w:t>
      </w:r>
    </w:p>
    <w:p w14:paraId="74EA4811" w14:textId="0C4E3A7E" w:rsidR="008C2177" w:rsidRDefault="00000000" w:rsidP="00015CF2">
      <w:pPr>
        <w:spacing w:before="240" w:after="240" w:line="480" w:lineRule="auto"/>
        <w:ind w:firstLine="720"/>
        <w:jc w:val="both"/>
        <w:rPr>
          <w:sz w:val="24"/>
          <w:szCs w:val="24"/>
          <w:highlight w:val="white"/>
        </w:rPr>
      </w:pPr>
      <w:r>
        <w:rPr>
          <w:sz w:val="24"/>
          <w:szCs w:val="24"/>
        </w:rPr>
        <w:t xml:space="preserve">The CRS </w:t>
      </w:r>
      <w:r>
        <w:rPr>
          <w:i/>
          <w:sz w:val="24"/>
          <w:szCs w:val="24"/>
        </w:rPr>
        <w:t xml:space="preserve">travaux préparatoires </w:t>
      </w:r>
      <w:r>
        <w:rPr>
          <w:sz w:val="24"/>
          <w:szCs w:val="24"/>
        </w:rPr>
        <w:t>note that depriving nationality as a sanction for crimes is contrary to its object and purpose,</w:t>
      </w:r>
      <w:r>
        <w:rPr>
          <w:sz w:val="24"/>
          <w:szCs w:val="24"/>
          <w:vertAlign w:val="superscript"/>
        </w:rPr>
        <w:footnoteReference w:id="85"/>
      </w:r>
      <w:r>
        <w:rPr>
          <w:sz w:val="24"/>
          <w:szCs w:val="24"/>
        </w:rPr>
        <w:t xml:space="preserve"> which is to prevent and reduce statelessness.</w:t>
      </w:r>
      <w:r>
        <w:rPr>
          <w:sz w:val="24"/>
          <w:szCs w:val="24"/>
          <w:vertAlign w:val="superscript"/>
        </w:rPr>
        <w:footnoteReference w:id="86"/>
      </w:r>
      <w:r>
        <w:rPr>
          <w:sz w:val="24"/>
          <w:szCs w:val="24"/>
          <w:vertAlign w:val="superscript"/>
        </w:rPr>
        <w:t xml:space="preserve"> </w:t>
      </w:r>
      <w:r>
        <w:rPr>
          <w:sz w:val="24"/>
          <w:szCs w:val="24"/>
        </w:rPr>
        <w:t>For instance, several State parties to the CRS have objected to Tunisia’s declaration under Article 8(3),</w:t>
      </w:r>
      <w:r>
        <w:rPr>
          <w:sz w:val="24"/>
          <w:szCs w:val="24"/>
          <w:vertAlign w:val="superscript"/>
        </w:rPr>
        <w:footnoteReference w:id="87"/>
      </w:r>
      <w:r>
        <w:rPr>
          <w:sz w:val="24"/>
          <w:szCs w:val="24"/>
        </w:rPr>
        <w:t xml:space="preserve"> which allows deprivation of nationality for committing </w:t>
      </w:r>
      <w:r w:rsidR="00B271FF">
        <w:rPr>
          <w:sz w:val="24"/>
          <w:szCs w:val="24"/>
        </w:rPr>
        <w:t xml:space="preserve">criminal </w:t>
      </w:r>
      <w:r>
        <w:rPr>
          <w:sz w:val="24"/>
          <w:szCs w:val="24"/>
        </w:rPr>
        <w:t>offenses.</w:t>
      </w:r>
      <w:r>
        <w:rPr>
          <w:sz w:val="24"/>
          <w:szCs w:val="24"/>
          <w:vertAlign w:val="superscript"/>
        </w:rPr>
        <w:footnoteReference w:id="88"/>
      </w:r>
      <w:r>
        <w:rPr>
          <w:sz w:val="24"/>
          <w:szCs w:val="24"/>
        </w:rPr>
        <w:t xml:space="preserve"> </w:t>
      </w:r>
    </w:p>
    <w:p w14:paraId="5ADBA970" w14:textId="3026AE25" w:rsidR="008C2177" w:rsidRDefault="00000000" w:rsidP="00015CF2">
      <w:pPr>
        <w:spacing w:before="240" w:after="240" w:line="480" w:lineRule="auto"/>
        <w:ind w:firstLine="720"/>
        <w:jc w:val="both"/>
        <w:rPr>
          <w:sz w:val="24"/>
          <w:szCs w:val="24"/>
          <w:highlight w:val="white"/>
        </w:rPr>
      </w:pPr>
      <w:r>
        <w:rPr>
          <w:sz w:val="24"/>
          <w:szCs w:val="24"/>
          <w:highlight w:val="white"/>
        </w:rPr>
        <w:t>Similarly, Remisia submitted a ‘declaration’ under Article 8(3) of the CRS to deprive nationality if their nationals have been convicted under the DCA.</w:t>
      </w:r>
      <w:r>
        <w:rPr>
          <w:sz w:val="24"/>
          <w:szCs w:val="24"/>
          <w:highlight w:val="white"/>
          <w:vertAlign w:val="superscript"/>
        </w:rPr>
        <w:footnoteReference w:id="89"/>
      </w:r>
      <w:r>
        <w:rPr>
          <w:sz w:val="24"/>
          <w:szCs w:val="24"/>
          <w:highlight w:val="white"/>
        </w:rPr>
        <w:t xml:space="preserve"> Antrano and three other State parties objected to this declaration,</w:t>
      </w:r>
      <w:r>
        <w:rPr>
          <w:sz w:val="24"/>
          <w:szCs w:val="24"/>
          <w:highlight w:val="white"/>
          <w:vertAlign w:val="superscript"/>
        </w:rPr>
        <w:footnoteReference w:id="90"/>
      </w:r>
      <w:r>
        <w:rPr>
          <w:sz w:val="24"/>
          <w:szCs w:val="24"/>
          <w:highlight w:val="white"/>
        </w:rPr>
        <w:t xml:space="preserve"> since allowing statelessness as a sanction for crimes is incompatible with the object and purpose of the CRS. Therefore, Remisia cannot rely on its invalid reservation submitted under Article 8(3) of the CRS as an exemption to Article 8(1) when it rendered the Sterren Forty stateless.</w:t>
      </w:r>
    </w:p>
    <w:p w14:paraId="380011DE" w14:textId="40D367E5" w:rsidR="008C2177" w:rsidRPr="00420BF9" w:rsidRDefault="00000000" w:rsidP="00015CF2">
      <w:pPr>
        <w:pStyle w:val="Ttulo3"/>
        <w:numPr>
          <w:ilvl w:val="0"/>
          <w:numId w:val="29"/>
        </w:numPr>
        <w:spacing w:before="240" w:after="240" w:line="480" w:lineRule="auto"/>
        <w:jc w:val="both"/>
        <w:rPr>
          <w:sz w:val="24"/>
          <w:szCs w:val="24"/>
          <w:highlight w:val="white"/>
        </w:rPr>
      </w:pPr>
      <w:bookmarkStart w:id="24" w:name="_Toc155961566"/>
      <w:r>
        <w:rPr>
          <w:sz w:val="24"/>
          <w:szCs w:val="24"/>
          <w:highlight w:val="white"/>
        </w:rPr>
        <w:t>Remisia violated its obligations under Articles 19 and 21 of the ICCPR</w:t>
      </w:r>
      <w:bookmarkEnd w:id="24"/>
      <w:r w:rsidR="000E212C">
        <w:rPr>
          <w:sz w:val="24"/>
          <w:szCs w:val="24"/>
          <w:highlight w:val="white"/>
        </w:rPr>
        <w:fldChar w:fldCharType="begin"/>
      </w:r>
      <w:r w:rsidR="000E212C">
        <w:rPr>
          <w:sz w:val="24"/>
          <w:szCs w:val="24"/>
          <w:highlight w:val="white"/>
        </w:rPr>
        <w:instrText xml:space="preserve"> TA \s "ICCPR" </w:instrText>
      </w:r>
      <w:r w:rsidR="000E212C">
        <w:rPr>
          <w:sz w:val="24"/>
          <w:szCs w:val="24"/>
          <w:highlight w:val="white"/>
        </w:rPr>
        <w:fldChar w:fldCharType="end"/>
      </w:r>
      <w:r>
        <w:rPr>
          <w:sz w:val="24"/>
          <w:szCs w:val="24"/>
          <w:highlight w:val="white"/>
        </w:rPr>
        <w:t xml:space="preserve"> </w:t>
      </w:r>
    </w:p>
    <w:p w14:paraId="75BA45DD" w14:textId="5364E57D" w:rsidR="008C2177" w:rsidRDefault="00000000" w:rsidP="00015CF2">
      <w:pPr>
        <w:spacing w:before="240" w:after="240" w:line="480" w:lineRule="auto"/>
        <w:ind w:firstLine="720"/>
        <w:jc w:val="both"/>
        <w:rPr>
          <w:sz w:val="24"/>
          <w:szCs w:val="24"/>
          <w:highlight w:val="white"/>
        </w:rPr>
      </w:pPr>
      <w:r>
        <w:rPr>
          <w:sz w:val="24"/>
          <w:szCs w:val="24"/>
          <w:highlight w:val="white"/>
        </w:rPr>
        <w:t>Remisia violated its ICCPR</w:t>
      </w:r>
      <w:r w:rsidR="000E212C">
        <w:rPr>
          <w:sz w:val="24"/>
          <w:szCs w:val="24"/>
          <w:highlight w:val="white"/>
        </w:rPr>
        <w:fldChar w:fldCharType="begin"/>
      </w:r>
      <w:r w:rsidR="000E212C">
        <w:rPr>
          <w:sz w:val="24"/>
          <w:szCs w:val="24"/>
          <w:highlight w:val="white"/>
        </w:rPr>
        <w:instrText xml:space="preserve"> TA \s "ICCPR" </w:instrText>
      </w:r>
      <w:r w:rsidR="000E212C">
        <w:rPr>
          <w:sz w:val="24"/>
          <w:szCs w:val="24"/>
          <w:highlight w:val="white"/>
        </w:rPr>
        <w:fldChar w:fldCharType="end"/>
      </w:r>
      <w:r>
        <w:rPr>
          <w:sz w:val="24"/>
          <w:szCs w:val="24"/>
          <w:highlight w:val="white"/>
        </w:rPr>
        <w:t xml:space="preserve"> obligations by imprisoning the Sterren Forty and depriving </w:t>
      </w:r>
      <w:r w:rsidR="003D3A1F">
        <w:rPr>
          <w:sz w:val="24"/>
          <w:szCs w:val="24"/>
          <w:highlight w:val="white"/>
        </w:rPr>
        <w:lastRenderedPageBreak/>
        <w:t xml:space="preserve">them of </w:t>
      </w:r>
      <w:r>
        <w:rPr>
          <w:sz w:val="24"/>
          <w:szCs w:val="24"/>
          <w:highlight w:val="white"/>
        </w:rPr>
        <w:t>their nationality for exercising their rights to freedom of expression</w:t>
      </w:r>
      <w:r>
        <w:rPr>
          <w:sz w:val="24"/>
          <w:szCs w:val="24"/>
          <w:highlight w:val="white"/>
          <w:vertAlign w:val="superscript"/>
        </w:rPr>
        <w:footnoteReference w:id="91"/>
      </w:r>
      <w:r>
        <w:rPr>
          <w:sz w:val="24"/>
          <w:szCs w:val="24"/>
          <w:highlight w:val="white"/>
        </w:rPr>
        <w:t xml:space="preserve"> and assembly.</w:t>
      </w:r>
      <w:r>
        <w:rPr>
          <w:sz w:val="24"/>
          <w:szCs w:val="24"/>
          <w:highlight w:val="white"/>
          <w:vertAlign w:val="superscript"/>
        </w:rPr>
        <w:footnoteReference w:id="92"/>
      </w:r>
      <w:r>
        <w:rPr>
          <w:sz w:val="24"/>
          <w:szCs w:val="24"/>
          <w:highlight w:val="white"/>
        </w:rPr>
        <w:t xml:space="preserve"> Under the ICCPR</w:t>
      </w:r>
      <w:r w:rsidR="00150089">
        <w:rPr>
          <w:sz w:val="24"/>
          <w:szCs w:val="24"/>
          <w:highlight w:val="white"/>
        </w:rPr>
        <w:t>,</w:t>
      </w:r>
      <w:r>
        <w:rPr>
          <w:sz w:val="24"/>
          <w:szCs w:val="24"/>
          <w:highlight w:val="white"/>
        </w:rPr>
        <w:t xml:space="preserve"> any restriction to these rights must be provided by law, based on the legitimate aims recognized in the treaty and necessary in a democratic society.</w:t>
      </w:r>
      <w:r>
        <w:rPr>
          <w:sz w:val="24"/>
          <w:szCs w:val="24"/>
          <w:highlight w:val="white"/>
          <w:vertAlign w:val="superscript"/>
        </w:rPr>
        <w:footnoteReference w:id="93"/>
      </w:r>
      <w:r>
        <w:rPr>
          <w:sz w:val="24"/>
          <w:szCs w:val="24"/>
          <w:highlight w:val="white"/>
        </w:rPr>
        <w:t xml:space="preserve"> As argued above,</w:t>
      </w:r>
      <w:r>
        <w:rPr>
          <w:sz w:val="24"/>
          <w:szCs w:val="24"/>
          <w:highlight w:val="white"/>
          <w:vertAlign w:val="superscript"/>
        </w:rPr>
        <w:footnoteReference w:id="94"/>
      </w:r>
      <w:r>
        <w:rPr>
          <w:sz w:val="24"/>
          <w:szCs w:val="24"/>
          <w:highlight w:val="white"/>
        </w:rPr>
        <w:t xml:space="preserve"> the DCA lacks sufficient clarity</w:t>
      </w:r>
      <w:r w:rsidR="003D3A1F">
        <w:rPr>
          <w:sz w:val="24"/>
          <w:szCs w:val="24"/>
          <w:highlight w:val="white"/>
        </w:rPr>
        <w:t xml:space="preserve"> such</w:t>
      </w:r>
      <w:r>
        <w:rPr>
          <w:sz w:val="24"/>
          <w:szCs w:val="24"/>
          <w:highlight w:val="white"/>
        </w:rPr>
        <w:t xml:space="preserve"> that it does not meet the ‘provided by law’ requirement. Moreover, </w:t>
      </w:r>
      <w:r>
        <w:rPr>
          <w:b/>
          <w:sz w:val="24"/>
          <w:szCs w:val="24"/>
          <w:highlight w:val="white"/>
        </w:rPr>
        <w:t>(1)</w:t>
      </w:r>
      <w:r>
        <w:rPr>
          <w:sz w:val="24"/>
          <w:szCs w:val="24"/>
          <w:highlight w:val="white"/>
        </w:rPr>
        <w:t xml:space="preserve"> the restriction cannot be justified by any legitimate aim</w:t>
      </w:r>
      <w:r w:rsidR="00EB5F3E">
        <w:rPr>
          <w:sz w:val="24"/>
          <w:szCs w:val="24"/>
          <w:highlight w:val="white"/>
        </w:rPr>
        <w:t>,</w:t>
      </w:r>
      <w:r>
        <w:rPr>
          <w:sz w:val="24"/>
          <w:szCs w:val="24"/>
          <w:highlight w:val="white"/>
        </w:rPr>
        <w:t xml:space="preserve"> and </w:t>
      </w:r>
      <w:r>
        <w:rPr>
          <w:b/>
          <w:sz w:val="24"/>
          <w:szCs w:val="24"/>
          <w:highlight w:val="white"/>
        </w:rPr>
        <w:t>(2)</w:t>
      </w:r>
      <w:r>
        <w:rPr>
          <w:sz w:val="24"/>
          <w:szCs w:val="24"/>
          <w:highlight w:val="white"/>
        </w:rPr>
        <w:t xml:space="preserve"> it was not necessary.</w:t>
      </w:r>
    </w:p>
    <w:p w14:paraId="061735C9" w14:textId="77777777" w:rsidR="008C2177" w:rsidRPr="00290DF4" w:rsidRDefault="00000000" w:rsidP="00015CF2">
      <w:pPr>
        <w:pStyle w:val="Ttulo4"/>
        <w:numPr>
          <w:ilvl w:val="0"/>
          <w:numId w:val="31"/>
        </w:numPr>
        <w:spacing w:after="240" w:line="480" w:lineRule="auto"/>
        <w:jc w:val="both"/>
        <w:rPr>
          <w:b w:val="0"/>
          <w:bCs/>
          <w:highlight w:val="white"/>
          <w:u w:val="single"/>
        </w:rPr>
      </w:pPr>
      <w:bookmarkStart w:id="25" w:name="_Toc155961567"/>
      <w:r w:rsidRPr="00290DF4">
        <w:rPr>
          <w:b w:val="0"/>
          <w:bCs/>
          <w:highlight w:val="white"/>
          <w:u w:val="single"/>
        </w:rPr>
        <w:t>Remisia’s restrictions on the rights to freedom of expression and assembly of the Sterren Forty were not based on legitimate aims</w:t>
      </w:r>
      <w:bookmarkEnd w:id="25"/>
    </w:p>
    <w:p w14:paraId="4377154B" w14:textId="60A5DD15" w:rsidR="008C2177" w:rsidRDefault="00000000" w:rsidP="00015CF2">
      <w:pPr>
        <w:spacing w:before="240" w:after="240" w:line="480" w:lineRule="auto"/>
        <w:ind w:firstLine="720"/>
        <w:jc w:val="both"/>
        <w:rPr>
          <w:sz w:val="24"/>
          <w:szCs w:val="24"/>
          <w:highlight w:val="white"/>
        </w:rPr>
      </w:pPr>
      <w:r>
        <w:rPr>
          <w:sz w:val="24"/>
          <w:szCs w:val="24"/>
          <w:highlight w:val="white"/>
        </w:rPr>
        <w:t>Remisia’s restriction was not based on the legitimate aims recognized in the ICCPR</w:t>
      </w:r>
      <w:r w:rsidR="000E212C">
        <w:rPr>
          <w:sz w:val="24"/>
          <w:szCs w:val="24"/>
          <w:highlight w:val="white"/>
        </w:rPr>
        <w:fldChar w:fldCharType="begin"/>
      </w:r>
      <w:r w:rsidR="000E212C">
        <w:rPr>
          <w:sz w:val="24"/>
          <w:szCs w:val="24"/>
          <w:highlight w:val="white"/>
        </w:rPr>
        <w:instrText xml:space="preserve"> TA \s "ICCPR" </w:instrText>
      </w:r>
      <w:r w:rsidR="000E212C">
        <w:rPr>
          <w:sz w:val="24"/>
          <w:szCs w:val="24"/>
          <w:highlight w:val="white"/>
        </w:rPr>
        <w:fldChar w:fldCharType="end"/>
      </w:r>
      <w:r>
        <w:rPr>
          <w:sz w:val="24"/>
          <w:szCs w:val="24"/>
          <w:highlight w:val="white"/>
        </w:rPr>
        <w:t xml:space="preserve"> for restricting freedom of expression and assembly,</w:t>
      </w:r>
      <w:r>
        <w:rPr>
          <w:sz w:val="24"/>
          <w:szCs w:val="24"/>
          <w:highlight w:val="white"/>
          <w:vertAlign w:val="superscript"/>
        </w:rPr>
        <w:footnoteReference w:id="95"/>
      </w:r>
      <w:r>
        <w:rPr>
          <w:sz w:val="24"/>
          <w:szCs w:val="24"/>
          <w:highlight w:val="white"/>
        </w:rPr>
        <w:t xml:space="preserve"> such as </w:t>
      </w:r>
      <w:r>
        <w:rPr>
          <w:b/>
          <w:sz w:val="24"/>
          <w:szCs w:val="24"/>
          <w:highlight w:val="white"/>
        </w:rPr>
        <w:t xml:space="preserve">(a) </w:t>
      </w:r>
      <w:r>
        <w:rPr>
          <w:sz w:val="24"/>
          <w:szCs w:val="24"/>
          <w:highlight w:val="white"/>
        </w:rPr>
        <w:t xml:space="preserve">national security, </w:t>
      </w:r>
      <w:r>
        <w:rPr>
          <w:b/>
          <w:sz w:val="24"/>
          <w:szCs w:val="24"/>
          <w:highlight w:val="white"/>
        </w:rPr>
        <w:t>(b)</w:t>
      </w:r>
      <w:r>
        <w:rPr>
          <w:sz w:val="24"/>
          <w:szCs w:val="24"/>
          <w:highlight w:val="white"/>
        </w:rPr>
        <w:t xml:space="preserve"> public order or </w:t>
      </w:r>
      <w:r>
        <w:rPr>
          <w:b/>
          <w:sz w:val="24"/>
          <w:szCs w:val="24"/>
          <w:highlight w:val="white"/>
        </w:rPr>
        <w:t xml:space="preserve">(c) </w:t>
      </w:r>
      <w:r>
        <w:rPr>
          <w:sz w:val="24"/>
          <w:szCs w:val="24"/>
          <w:highlight w:val="white"/>
        </w:rPr>
        <w:t xml:space="preserve">public morals. </w:t>
      </w:r>
    </w:p>
    <w:p w14:paraId="4A78BDB4" w14:textId="2A527007" w:rsidR="008C2177" w:rsidRPr="00290DF4" w:rsidRDefault="00000000" w:rsidP="00015CF2">
      <w:pPr>
        <w:pStyle w:val="Ttulo5"/>
        <w:numPr>
          <w:ilvl w:val="1"/>
          <w:numId w:val="30"/>
        </w:numPr>
        <w:spacing w:before="240" w:after="240" w:line="480" w:lineRule="auto"/>
        <w:jc w:val="both"/>
        <w:rPr>
          <w:b w:val="0"/>
          <w:bCs/>
          <w:i/>
          <w:iCs/>
          <w:sz w:val="24"/>
          <w:szCs w:val="24"/>
        </w:rPr>
      </w:pPr>
      <w:bookmarkStart w:id="26" w:name="_Toc155961568"/>
      <w:r w:rsidRPr="00290DF4">
        <w:rPr>
          <w:b w:val="0"/>
          <w:bCs/>
          <w:i/>
          <w:iCs/>
          <w:sz w:val="24"/>
          <w:szCs w:val="24"/>
        </w:rPr>
        <w:t>Remisia</w:t>
      </w:r>
      <w:r w:rsidR="00EB5F3E">
        <w:rPr>
          <w:b w:val="0"/>
          <w:bCs/>
          <w:i/>
          <w:iCs/>
          <w:sz w:val="24"/>
          <w:szCs w:val="24"/>
        </w:rPr>
        <w:t>’</w:t>
      </w:r>
      <w:r w:rsidRPr="00290DF4">
        <w:rPr>
          <w:b w:val="0"/>
          <w:bCs/>
          <w:i/>
          <w:iCs/>
          <w:sz w:val="24"/>
          <w:szCs w:val="24"/>
        </w:rPr>
        <w:t>s restriction cannot be justified on national security</w:t>
      </w:r>
      <w:bookmarkEnd w:id="26"/>
    </w:p>
    <w:p w14:paraId="15128BF8" w14:textId="7468CD40" w:rsidR="008C2177" w:rsidRDefault="00000000" w:rsidP="00015CF2">
      <w:pPr>
        <w:spacing w:before="240" w:after="240" w:line="480" w:lineRule="auto"/>
        <w:ind w:firstLine="720"/>
        <w:jc w:val="both"/>
        <w:rPr>
          <w:sz w:val="24"/>
          <w:szCs w:val="24"/>
          <w:highlight w:val="white"/>
        </w:rPr>
      </w:pPr>
      <w:r>
        <w:rPr>
          <w:sz w:val="24"/>
          <w:szCs w:val="24"/>
          <w:highlight w:val="white"/>
        </w:rPr>
        <w:t>The national security exception only applies to preserve a State</w:t>
      </w:r>
      <w:r w:rsidR="00EB5F3E">
        <w:rPr>
          <w:sz w:val="24"/>
          <w:szCs w:val="24"/>
          <w:highlight w:val="white"/>
        </w:rPr>
        <w:t>’</w:t>
      </w:r>
      <w:r>
        <w:rPr>
          <w:sz w:val="24"/>
          <w:szCs w:val="24"/>
          <w:highlight w:val="white"/>
        </w:rPr>
        <w:t>s capacity to protect its territorial integrity or political independence against a threat or use of force.</w:t>
      </w:r>
      <w:r>
        <w:rPr>
          <w:sz w:val="24"/>
          <w:szCs w:val="24"/>
          <w:highlight w:val="white"/>
          <w:vertAlign w:val="superscript"/>
        </w:rPr>
        <w:footnoteReference w:id="96"/>
      </w:r>
      <w:r>
        <w:rPr>
          <w:sz w:val="24"/>
          <w:szCs w:val="24"/>
          <w:highlight w:val="white"/>
        </w:rPr>
        <w:t xml:space="preserve"> In </w:t>
      </w:r>
      <w:r>
        <w:rPr>
          <w:i/>
          <w:sz w:val="24"/>
          <w:szCs w:val="24"/>
          <w:highlight w:val="white"/>
        </w:rPr>
        <w:t>Surek v. Turkey</w:t>
      </w:r>
      <w:r w:rsidR="00791635">
        <w:rPr>
          <w:i/>
          <w:sz w:val="24"/>
          <w:szCs w:val="24"/>
          <w:highlight w:val="white"/>
        </w:rPr>
        <w:fldChar w:fldCharType="begin"/>
      </w:r>
      <w:r w:rsidR="00791635">
        <w:instrText xml:space="preserve"> TA \l "</w:instrText>
      </w:r>
      <w:r w:rsidR="00791635" w:rsidRPr="00FC1CEB">
        <w:rPr>
          <w:i/>
          <w:sz w:val="24"/>
          <w:szCs w:val="24"/>
          <w:highlight w:val="white"/>
        </w:rPr>
        <w:instrText xml:space="preserve">Surek v. Turkey </w:instrText>
      </w:r>
      <w:r w:rsidR="00791635" w:rsidRPr="00FC1CEB">
        <w:rPr>
          <w:sz w:val="24"/>
          <w:szCs w:val="24"/>
        </w:rPr>
        <w:instrText xml:space="preserve">(Judgement) </w:instrText>
      </w:r>
      <w:r w:rsidR="00791635" w:rsidRPr="00FC1CEB">
        <w:rPr>
          <w:sz w:val="24"/>
          <w:szCs w:val="24"/>
          <w:highlight w:val="white"/>
        </w:rPr>
        <w:instrText xml:space="preserve">ECHR </w:instrText>
      </w:r>
      <w:r w:rsidR="00791635" w:rsidRPr="00FC1CEB">
        <w:rPr>
          <w:sz w:val="24"/>
          <w:szCs w:val="24"/>
        </w:rPr>
        <w:instrText xml:space="preserve">App. No. </w:instrText>
      </w:r>
      <w:r w:rsidR="00791635" w:rsidRPr="00FC1CEB">
        <w:rPr>
          <w:sz w:val="24"/>
          <w:szCs w:val="24"/>
          <w:highlight w:val="white"/>
        </w:rPr>
        <w:instrText>24735/94</w:instrText>
      </w:r>
      <w:r w:rsidR="00791635" w:rsidRPr="00FC1CEB">
        <w:rPr>
          <w:sz w:val="24"/>
          <w:szCs w:val="24"/>
        </w:rPr>
        <w:instrText xml:space="preserve"> (</w:instrText>
      </w:r>
      <w:r w:rsidR="00791635" w:rsidRPr="00FC1CEB">
        <w:rPr>
          <w:sz w:val="24"/>
          <w:szCs w:val="24"/>
          <w:highlight w:val="white"/>
        </w:rPr>
        <w:instrText>8 July 1999)</w:instrText>
      </w:r>
      <w:r w:rsidR="00791635">
        <w:instrText xml:space="preserve">" \s "Surek v. Turkey" \c 4 </w:instrText>
      </w:r>
      <w:r w:rsidR="00791635">
        <w:rPr>
          <w:i/>
          <w:sz w:val="24"/>
          <w:szCs w:val="24"/>
          <w:highlight w:val="white"/>
        </w:rPr>
        <w:fldChar w:fldCharType="end"/>
      </w:r>
      <w:r>
        <w:rPr>
          <w:sz w:val="24"/>
          <w:szCs w:val="24"/>
          <w:highlight w:val="white"/>
        </w:rPr>
        <w:t xml:space="preserve">, the European Court of Human Rights (‘ECHR’) considered that restricting expressions of support </w:t>
      </w:r>
      <w:r>
        <w:rPr>
          <w:sz w:val="24"/>
          <w:szCs w:val="24"/>
          <w:highlight w:val="white"/>
        </w:rPr>
        <w:lastRenderedPageBreak/>
        <w:t xml:space="preserve">for the PKK terrorist group </w:t>
      </w:r>
      <w:r w:rsidR="00DF02A6">
        <w:rPr>
          <w:sz w:val="24"/>
          <w:szCs w:val="24"/>
          <w:highlight w:val="white"/>
        </w:rPr>
        <w:t xml:space="preserve">was </w:t>
      </w:r>
      <w:r>
        <w:rPr>
          <w:sz w:val="24"/>
          <w:szCs w:val="24"/>
          <w:highlight w:val="white"/>
        </w:rPr>
        <w:t>legitimate, as the violence employed by this group posed a threat to Turkey</w:t>
      </w:r>
      <w:r w:rsidR="00EB5F3E">
        <w:rPr>
          <w:sz w:val="24"/>
          <w:szCs w:val="24"/>
          <w:highlight w:val="white"/>
        </w:rPr>
        <w:t>’</w:t>
      </w:r>
      <w:r>
        <w:rPr>
          <w:sz w:val="24"/>
          <w:szCs w:val="24"/>
          <w:highlight w:val="white"/>
        </w:rPr>
        <w:t>s national security.</w:t>
      </w:r>
      <w:r>
        <w:rPr>
          <w:sz w:val="24"/>
          <w:szCs w:val="24"/>
          <w:highlight w:val="white"/>
          <w:vertAlign w:val="superscript"/>
        </w:rPr>
        <w:footnoteReference w:id="97"/>
      </w:r>
      <w:r>
        <w:rPr>
          <w:sz w:val="24"/>
          <w:szCs w:val="24"/>
          <w:highlight w:val="white"/>
        </w:rPr>
        <w:t xml:space="preserve"> At no time did the Sterren Forty ever use force or incite violent actions. Instead, the Sterren Forty merely coordinated some peaceful marches,</w:t>
      </w:r>
      <w:r>
        <w:rPr>
          <w:sz w:val="24"/>
          <w:szCs w:val="24"/>
          <w:highlight w:val="white"/>
          <w:vertAlign w:val="superscript"/>
        </w:rPr>
        <w:footnoteReference w:id="98"/>
      </w:r>
      <w:r>
        <w:rPr>
          <w:sz w:val="24"/>
          <w:szCs w:val="24"/>
          <w:highlight w:val="white"/>
        </w:rPr>
        <w:t xml:space="preserve"> and </w:t>
      </w:r>
      <w:r w:rsidR="00113B9B">
        <w:rPr>
          <w:sz w:val="24"/>
          <w:szCs w:val="24"/>
          <w:highlight w:val="white"/>
        </w:rPr>
        <w:t>made a human chain at</w:t>
      </w:r>
      <w:r>
        <w:rPr>
          <w:sz w:val="24"/>
          <w:szCs w:val="24"/>
          <w:highlight w:val="white"/>
        </w:rPr>
        <w:t xml:space="preserve"> the gates of the Sterren Palace</w:t>
      </w:r>
      <w:r>
        <w:rPr>
          <w:sz w:val="24"/>
          <w:szCs w:val="24"/>
          <w:highlight w:val="white"/>
          <w:vertAlign w:val="superscript"/>
        </w:rPr>
        <w:footnoteReference w:id="99"/>
      </w:r>
      <w:r>
        <w:rPr>
          <w:sz w:val="24"/>
          <w:szCs w:val="24"/>
          <w:highlight w:val="white"/>
        </w:rPr>
        <w:t xml:space="preserve"> as a symbol of protest against the </w:t>
      </w:r>
      <w:r w:rsidR="0021754D">
        <w:rPr>
          <w:sz w:val="24"/>
          <w:szCs w:val="24"/>
          <w:highlight w:val="white"/>
        </w:rPr>
        <w:t>G</w:t>
      </w:r>
      <w:r>
        <w:rPr>
          <w:sz w:val="24"/>
          <w:szCs w:val="24"/>
          <w:highlight w:val="white"/>
        </w:rPr>
        <w:t>overnment. Therefore, Remisia's restriction cannot be justified on national security.</w:t>
      </w:r>
    </w:p>
    <w:p w14:paraId="039059F3" w14:textId="6659D6BA" w:rsidR="008C2177" w:rsidRPr="00290DF4" w:rsidRDefault="00000000" w:rsidP="00015CF2">
      <w:pPr>
        <w:pStyle w:val="Ttulo5"/>
        <w:numPr>
          <w:ilvl w:val="1"/>
          <w:numId w:val="30"/>
        </w:numPr>
        <w:spacing w:before="240" w:after="240" w:line="480" w:lineRule="auto"/>
        <w:jc w:val="both"/>
        <w:rPr>
          <w:b w:val="0"/>
          <w:bCs/>
          <w:i/>
          <w:iCs/>
          <w:sz w:val="24"/>
          <w:szCs w:val="24"/>
        </w:rPr>
      </w:pPr>
      <w:bookmarkStart w:id="27" w:name="_Toc155961569"/>
      <w:r w:rsidRPr="00290DF4">
        <w:rPr>
          <w:b w:val="0"/>
          <w:bCs/>
          <w:i/>
          <w:iCs/>
          <w:sz w:val="24"/>
          <w:szCs w:val="24"/>
        </w:rPr>
        <w:t>Remisia</w:t>
      </w:r>
      <w:r w:rsidR="00113B9B">
        <w:rPr>
          <w:b w:val="0"/>
          <w:bCs/>
          <w:i/>
          <w:iCs/>
          <w:sz w:val="24"/>
          <w:szCs w:val="24"/>
        </w:rPr>
        <w:t>’</w:t>
      </w:r>
      <w:r w:rsidRPr="00290DF4">
        <w:rPr>
          <w:b w:val="0"/>
          <w:bCs/>
          <w:i/>
          <w:iCs/>
          <w:sz w:val="24"/>
          <w:szCs w:val="24"/>
        </w:rPr>
        <w:t>s restriction cannot be justified on public order</w:t>
      </w:r>
      <w:bookmarkEnd w:id="27"/>
    </w:p>
    <w:p w14:paraId="53D7833D" w14:textId="7B216960" w:rsidR="008C2177" w:rsidRPr="00157B25" w:rsidRDefault="003C7FCF" w:rsidP="00015CF2">
      <w:pPr>
        <w:spacing w:before="240" w:after="240" w:line="480" w:lineRule="auto"/>
        <w:ind w:firstLine="720"/>
        <w:jc w:val="both"/>
        <w:rPr>
          <w:b/>
          <w:sz w:val="24"/>
          <w:szCs w:val="24"/>
          <w:highlight w:val="white"/>
        </w:rPr>
      </w:pPr>
      <w:r w:rsidRPr="00157B25">
        <w:rPr>
          <w:sz w:val="24"/>
          <w:szCs w:val="24"/>
        </w:rPr>
        <w:t>Public order is defined as the sum of rules which ensure the functioning of society, including the respect for human rights.</w:t>
      </w:r>
      <w:r w:rsidRPr="00157B25">
        <w:rPr>
          <w:rStyle w:val="Refdenotaalpie"/>
          <w:sz w:val="24"/>
          <w:szCs w:val="24"/>
        </w:rPr>
        <w:footnoteReference w:id="100"/>
      </w:r>
      <w:r w:rsidRPr="00157B25">
        <w:rPr>
          <w:sz w:val="24"/>
          <w:szCs w:val="24"/>
        </w:rPr>
        <w:t xml:space="preserve"> </w:t>
      </w:r>
      <w:r w:rsidR="00157B25" w:rsidRPr="00157B25">
        <w:rPr>
          <w:sz w:val="24"/>
          <w:szCs w:val="24"/>
        </w:rPr>
        <w:t xml:space="preserve">Hence, </w:t>
      </w:r>
      <w:r w:rsidR="00157B25" w:rsidRPr="00157B25">
        <w:rPr>
          <w:sz w:val="24"/>
          <w:szCs w:val="24"/>
          <w:highlight w:val="white"/>
        </w:rPr>
        <w:t>s</w:t>
      </w:r>
      <w:r w:rsidRPr="00157B25">
        <w:rPr>
          <w:sz w:val="24"/>
          <w:szCs w:val="24"/>
          <w:highlight w:val="white"/>
        </w:rPr>
        <w:t>tates cannot rely on a vague definition of ‘public order’ to restrict the rights of freedom of assembly and expression.</w:t>
      </w:r>
      <w:r w:rsidRPr="00157B25">
        <w:rPr>
          <w:sz w:val="24"/>
          <w:szCs w:val="24"/>
          <w:highlight w:val="white"/>
          <w:vertAlign w:val="superscript"/>
        </w:rPr>
        <w:footnoteReference w:id="101"/>
      </w:r>
      <w:r w:rsidRPr="00157B25">
        <w:rPr>
          <w:sz w:val="24"/>
          <w:szCs w:val="24"/>
          <w:highlight w:val="white"/>
        </w:rPr>
        <w:t xml:space="preserve"> To justify any restriction</w:t>
      </w:r>
      <w:r w:rsidR="00113B9B">
        <w:rPr>
          <w:sz w:val="24"/>
          <w:szCs w:val="24"/>
          <w:highlight w:val="white"/>
        </w:rPr>
        <w:t>,</w:t>
      </w:r>
      <w:r w:rsidRPr="00157B25">
        <w:rPr>
          <w:sz w:val="24"/>
          <w:szCs w:val="24"/>
          <w:highlight w:val="white"/>
        </w:rPr>
        <w:t xml:space="preserve"> the State must establish a clear and imminent danger to public order.</w:t>
      </w:r>
      <w:r w:rsidRPr="00157B25">
        <w:rPr>
          <w:sz w:val="24"/>
          <w:szCs w:val="24"/>
          <w:highlight w:val="white"/>
          <w:vertAlign w:val="superscript"/>
        </w:rPr>
        <w:footnoteReference w:id="102"/>
      </w:r>
      <w:r w:rsidRPr="00157B25">
        <w:rPr>
          <w:sz w:val="24"/>
          <w:szCs w:val="24"/>
          <w:highlight w:val="white"/>
        </w:rPr>
        <w:t xml:space="preserve"> Despite </w:t>
      </w:r>
      <w:r w:rsidR="003D3A1F" w:rsidRPr="00157B25">
        <w:rPr>
          <w:sz w:val="24"/>
          <w:szCs w:val="24"/>
          <w:highlight w:val="white"/>
        </w:rPr>
        <w:t xml:space="preserve">the </w:t>
      </w:r>
      <w:r w:rsidRPr="00157B25">
        <w:rPr>
          <w:sz w:val="24"/>
          <w:szCs w:val="24"/>
          <w:highlight w:val="white"/>
        </w:rPr>
        <w:t>Sterren Forty</w:t>
      </w:r>
      <w:r w:rsidR="003D3A1F" w:rsidRPr="00157B25">
        <w:rPr>
          <w:sz w:val="24"/>
          <w:szCs w:val="24"/>
          <w:highlight w:val="white"/>
        </w:rPr>
        <w:t>’s</w:t>
      </w:r>
      <w:r w:rsidRPr="00157B25">
        <w:rPr>
          <w:sz w:val="24"/>
          <w:szCs w:val="24"/>
          <w:highlight w:val="white"/>
        </w:rPr>
        <w:t xml:space="preserve"> demonstrations and political speeches </w:t>
      </w:r>
      <w:r w:rsidR="003D3A1F" w:rsidRPr="00157B25">
        <w:rPr>
          <w:sz w:val="24"/>
          <w:szCs w:val="24"/>
          <w:highlight w:val="white"/>
        </w:rPr>
        <w:t xml:space="preserve">being </w:t>
      </w:r>
      <w:r w:rsidRPr="00157B25">
        <w:rPr>
          <w:sz w:val="24"/>
          <w:szCs w:val="24"/>
          <w:highlight w:val="white"/>
        </w:rPr>
        <w:t>disruptive against government decisions,</w:t>
      </w:r>
      <w:r w:rsidRPr="00157B25">
        <w:rPr>
          <w:sz w:val="24"/>
          <w:szCs w:val="24"/>
          <w:highlight w:val="white"/>
          <w:vertAlign w:val="superscript"/>
        </w:rPr>
        <w:footnoteReference w:id="103"/>
      </w:r>
      <w:r w:rsidRPr="00157B25">
        <w:rPr>
          <w:sz w:val="24"/>
          <w:szCs w:val="24"/>
          <w:highlight w:val="white"/>
        </w:rPr>
        <w:t xml:space="preserve"> their actions did not endanger Remisia’s public order as they remained peaceful. Therefore, Remisia</w:t>
      </w:r>
      <w:r w:rsidR="00113B9B">
        <w:rPr>
          <w:sz w:val="24"/>
          <w:szCs w:val="24"/>
          <w:highlight w:val="white"/>
        </w:rPr>
        <w:t>’</w:t>
      </w:r>
      <w:r w:rsidRPr="00157B25">
        <w:rPr>
          <w:sz w:val="24"/>
          <w:szCs w:val="24"/>
          <w:highlight w:val="white"/>
        </w:rPr>
        <w:t>s restriction cannot be justified on public order.</w:t>
      </w:r>
    </w:p>
    <w:p w14:paraId="0DD28B56" w14:textId="69255C3A" w:rsidR="008C2177" w:rsidRPr="00290DF4" w:rsidRDefault="00000000" w:rsidP="00015CF2">
      <w:pPr>
        <w:pStyle w:val="Ttulo5"/>
        <w:numPr>
          <w:ilvl w:val="1"/>
          <w:numId w:val="30"/>
        </w:numPr>
        <w:spacing w:before="240" w:after="240" w:line="480" w:lineRule="auto"/>
        <w:jc w:val="both"/>
        <w:rPr>
          <w:b w:val="0"/>
          <w:bCs/>
          <w:i/>
          <w:iCs/>
          <w:sz w:val="24"/>
          <w:szCs w:val="24"/>
        </w:rPr>
      </w:pPr>
      <w:bookmarkStart w:id="28" w:name="_Toc155961570"/>
      <w:r w:rsidRPr="00290DF4">
        <w:rPr>
          <w:b w:val="0"/>
          <w:bCs/>
          <w:i/>
          <w:iCs/>
          <w:sz w:val="24"/>
          <w:szCs w:val="24"/>
        </w:rPr>
        <w:t>Remisia</w:t>
      </w:r>
      <w:r w:rsidR="00113B9B">
        <w:rPr>
          <w:b w:val="0"/>
          <w:bCs/>
          <w:i/>
          <w:iCs/>
          <w:sz w:val="24"/>
          <w:szCs w:val="24"/>
        </w:rPr>
        <w:t>’</w:t>
      </w:r>
      <w:r w:rsidRPr="00290DF4">
        <w:rPr>
          <w:b w:val="0"/>
          <w:bCs/>
          <w:i/>
          <w:iCs/>
          <w:sz w:val="24"/>
          <w:szCs w:val="24"/>
        </w:rPr>
        <w:t>s restriction cannot be justified on public morals</w:t>
      </w:r>
      <w:bookmarkEnd w:id="28"/>
    </w:p>
    <w:p w14:paraId="6138235A" w14:textId="335CCD4C" w:rsidR="008C2177" w:rsidRDefault="00000000" w:rsidP="00015CF2">
      <w:pPr>
        <w:spacing w:before="240" w:after="240" w:line="480" w:lineRule="auto"/>
        <w:ind w:firstLine="720"/>
        <w:jc w:val="both"/>
        <w:rPr>
          <w:sz w:val="24"/>
          <w:szCs w:val="24"/>
          <w:highlight w:val="white"/>
        </w:rPr>
      </w:pPr>
      <w:r>
        <w:rPr>
          <w:sz w:val="24"/>
          <w:szCs w:val="24"/>
          <w:highlight w:val="white"/>
        </w:rPr>
        <w:t xml:space="preserve">Restrictions on freedom of expression and assembly should only exceptionally be </w:t>
      </w:r>
      <w:r>
        <w:rPr>
          <w:sz w:val="24"/>
          <w:szCs w:val="24"/>
          <w:highlight w:val="white"/>
        </w:rPr>
        <w:lastRenderedPageBreak/>
        <w:t>imposed for the protection of public morals.</w:t>
      </w:r>
      <w:r>
        <w:rPr>
          <w:sz w:val="24"/>
          <w:szCs w:val="24"/>
          <w:highlight w:val="white"/>
          <w:vertAlign w:val="superscript"/>
        </w:rPr>
        <w:footnoteReference w:id="104"/>
      </w:r>
      <w:r>
        <w:rPr>
          <w:sz w:val="24"/>
          <w:szCs w:val="24"/>
          <w:highlight w:val="white"/>
        </w:rPr>
        <w:t xml:space="preserve"> Since moral values are different in each society,</w:t>
      </w:r>
      <w:r>
        <w:rPr>
          <w:sz w:val="24"/>
          <w:szCs w:val="24"/>
          <w:highlight w:val="white"/>
          <w:vertAlign w:val="superscript"/>
        </w:rPr>
        <w:footnoteReference w:id="105"/>
      </w:r>
      <w:r>
        <w:rPr>
          <w:sz w:val="24"/>
          <w:szCs w:val="24"/>
          <w:highlight w:val="white"/>
        </w:rPr>
        <w:t xml:space="preserve"> the HRComm affirmed that limitations based on this ground must be made under the criteria of </w:t>
      </w:r>
      <w:r w:rsidR="003D3A1F">
        <w:rPr>
          <w:sz w:val="24"/>
          <w:szCs w:val="24"/>
          <w:highlight w:val="white"/>
        </w:rPr>
        <w:t xml:space="preserve">the </w:t>
      </w:r>
      <w:r w:rsidR="00AA22D2">
        <w:rPr>
          <w:sz w:val="24"/>
          <w:szCs w:val="24"/>
          <w:highlight w:val="white"/>
        </w:rPr>
        <w:t xml:space="preserve"> </w:t>
      </w:r>
      <w:r>
        <w:rPr>
          <w:sz w:val="24"/>
          <w:szCs w:val="24"/>
          <w:highlight w:val="white"/>
        </w:rPr>
        <w:t>universality of human rights and non-discrimination.</w:t>
      </w:r>
      <w:r>
        <w:rPr>
          <w:sz w:val="24"/>
          <w:szCs w:val="24"/>
          <w:highlight w:val="white"/>
          <w:vertAlign w:val="superscript"/>
        </w:rPr>
        <w:footnoteReference w:id="106"/>
      </w:r>
      <w:r>
        <w:rPr>
          <w:sz w:val="24"/>
          <w:szCs w:val="24"/>
          <w:highlight w:val="white"/>
        </w:rPr>
        <w:t xml:space="preserve"> This means that the restriction cannot derive from a single social tradition.</w:t>
      </w:r>
      <w:r>
        <w:rPr>
          <w:sz w:val="24"/>
          <w:szCs w:val="24"/>
          <w:highlight w:val="white"/>
          <w:vertAlign w:val="superscript"/>
        </w:rPr>
        <w:footnoteReference w:id="107"/>
      </w:r>
      <w:r>
        <w:rPr>
          <w:sz w:val="24"/>
          <w:szCs w:val="24"/>
          <w:highlight w:val="white"/>
        </w:rPr>
        <w:t xml:space="preserve"> While the Crown is venerated in Remisia,</w:t>
      </w:r>
      <w:r>
        <w:rPr>
          <w:sz w:val="24"/>
          <w:szCs w:val="24"/>
          <w:highlight w:val="white"/>
          <w:vertAlign w:val="superscript"/>
        </w:rPr>
        <w:footnoteReference w:id="108"/>
      </w:r>
      <w:r>
        <w:rPr>
          <w:sz w:val="24"/>
          <w:szCs w:val="24"/>
          <w:highlight w:val="white"/>
        </w:rPr>
        <w:t xml:space="preserve"> </w:t>
      </w:r>
      <w:r w:rsidR="00204F74">
        <w:rPr>
          <w:sz w:val="24"/>
          <w:szCs w:val="24"/>
          <w:highlight w:val="white"/>
        </w:rPr>
        <w:t>it</w:t>
      </w:r>
      <w:r>
        <w:rPr>
          <w:sz w:val="24"/>
          <w:szCs w:val="24"/>
          <w:highlight w:val="white"/>
        </w:rPr>
        <w:t xml:space="preserve"> cannot restrict the Sterren Forty</w:t>
      </w:r>
      <w:r w:rsidR="00113B9B">
        <w:rPr>
          <w:sz w:val="24"/>
          <w:szCs w:val="24"/>
          <w:highlight w:val="white"/>
        </w:rPr>
        <w:t>’</w:t>
      </w:r>
      <w:r>
        <w:rPr>
          <w:sz w:val="24"/>
          <w:szCs w:val="24"/>
          <w:highlight w:val="white"/>
        </w:rPr>
        <w:t xml:space="preserve">s rights based solely on this moral value, disregarding their right to express ideas that may disturb the Queen’s </w:t>
      </w:r>
      <w:r w:rsidR="0021754D">
        <w:rPr>
          <w:sz w:val="24"/>
          <w:szCs w:val="24"/>
          <w:highlight w:val="white"/>
        </w:rPr>
        <w:t>G</w:t>
      </w:r>
      <w:r>
        <w:rPr>
          <w:sz w:val="24"/>
          <w:szCs w:val="24"/>
          <w:highlight w:val="white"/>
        </w:rPr>
        <w:t>overnment</w:t>
      </w:r>
      <w:r>
        <w:rPr>
          <w:sz w:val="24"/>
          <w:szCs w:val="24"/>
          <w:highlight w:val="white"/>
          <w:vertAlign w:val="superscript"/>
        </w:rPr>
        <w:footnoteReference w:id="109"/>
      </w:r>
      <w:r>
        <w:rPr>
          <w:sz w:val="24"/>
          <w:szCs w:val="24"/>
          <w:highlight w:val="white"/>
        </w:rPr>
        <w:t xml:space="preserve"> and discriminating against them for such expressions.</w:t>
      </w:r>
      <w:r>
        <w:rPr>
          <w:sz w:val="24"/>
          <w:szCs w:val="24"/>
          <w:highlight w:val="white"/>
          <w:vertAlign w:val="superscript"/>
        </w:rPr>
        <w:footnoteReference w:id="110"/>
      </w:r>
      <w:r>
        <w:rPr>
          <w:sz w:val="24"/>
          <w:szCs w:val="24"/>
          <w:highlight w:val="white"/>
        </w:rPr>
        <w:t xml:space="preserve"> Therefore, Remisia</w:t>
      </w:r>
      <w:r w:rsidR="00113B9B">
        <w:rPr>
          <w:sz w:val="24"/>
          <w:szCs w:val="24"/>
          <w:highlight w:val="white"/>
        </w:rPr>
        <w:t>’</w:t>
      </w:r>
      <w:r>
        <w:rPr>
          <w:sz w:val="24"/>
          <w:szCs w:val="24"/>
          <w:highlight w:val="white"/>
        </w:rPr>
        <w:t>s restriction cannot be justified on public morals.</w:t>
      </w:r>
    </w:p>
    <w:p w14:paraId="41B12DFA" w14:textId="28601431" w:rsidR="008C2177" w:rsidRPr="00290DF4" w:rsidRDefault="00000000" w:rsidP="00015CF2">
      <w:pPr>
        <w:pStyle w:val="Ttulo4"/>
        <w:numPr>
          <w:ilvl w:val="0"/>
          <w:numId w:val="31"/>
        </w:numPr>
        <w:spacing w:after="240" w:line="480" w:lineRule="auto"/>
        <w:jc w:val="both"/>
        <w:rPr>
          <w:b w:val="0"/>
          <w:bCs/>
          <w:highlight w:val="white"/>
          <w:u w:val="single"/>
        </w:rPr>
      </w:pPr>
      <w:bookmarkStart w:id="29" w:name="_Toc155961571"/>
      <w:r w:rsidRPr="00290DF4">
        <w:rPr>
          <w:b w:val="0"/>
          <w:bCs/>
          <w:highlight w:val="white"/>
          <w:u w:val="single"/>
        </w:rPr>
        <w:t>Remisia</w:t>
      </w:r>
      <w:r w:rsidR="00113B9B">
        <w:rPr>
          <w:b w:val="0"/>
          <w:bCs/>
          <w:highlight w:val="white"/>
          <w:u w:val="single"/>
        </w:rPr>
        <w:t>’</w:t>
      </w:r>
      <w:r w:rsidRPr="00290DF4">
        <w:rPr>
          <w:b w:val="0"/>
          <w:bCs/>
          <w:highlight w:val="white"/>
          <w:u w:val="single"/>
        </w:rPr>
        <w:t>s restriction was not necessary in a democratic society</w:t>
      </w:r>
      <w:bookmarkEnd w:id="29"/>
    </w:p>
    <w:p w14:paraId="453DBA71" w14:textId="77777777" w:rsidR="008C2177" w:rsidRDefault="00000000" w:rsidP="00015CF2">
      <w:pPr>
        <w:spacing w:before="240" w:after="240" w:line="480" w:lineRule="auto"/>
        <w:ind w:firstLine="720"/>
        <w:jc w:val="both"/>
        <w:rPr>
          <w:sz w:val="24"/>
          <w:szCs w:val="24"/>
        </w:rPr>
      </w:pPr>
      <w:r>
        <w:rPr>
          <w:sz w:val="24"/>
          <w:szCs w:val="24"/>
          <w:highlight w:val="white"/>
        </w:rPr>
        <w:t>Restrictions to freedom of expression and assembly must be necessary, as these rights are essential in democratic societies.</w:t>
      </w:r>
      <w:r>
        <w:rPr>
          <w:sz w:val="24"/>
          <w:szCs w:val="24"/>
          <w:highlight w:val="white"/>
          <w:vertAlign w:val="superscript"/>
        </w:rPr>
        <w:footnoteReference w:id="111"/>
      </w:r>
      <w:r>
        <w:rPr>
          <w:sz w:val="24"/>
          <w:szCs w:val="24"/>
          <w:highlight w:val="white"/>
        </w:rPr>
        <w:t xml:space="preserve"> Necessity implies the existence of a pressing social need</w:t>
      </w:r>
      <w:r>
        <w:rPr>
          <w:sz w:val="24"/>
          <w:szCs w:val="24"/>
          <w:highlight w:val="white"/>
          <w:vertAlign w:val="superscript"/>
        </w:rPr>
        <w:footnoteReference w:id="112"/>
      </w:r>
      <w:r>
        <w:rPr>
          <w:sz w:val="24"/>
          <w:szCs w:val="24"/>
          <w:highlight w:val="white"/>
        </w:rPr>
        <w:t xml:space="preserve"> which involves or encourages acts of violence that cause a high level disruption to ordinary life, </w:t>
      </w:r>
      <w:r>
        <w:rPr>
          <w:sz w:val="24"/>
          <w:szCs w:val="24"/>
          <w:highlight w:val="white"/>
        </w:rPr>
        <w:lastRenderedPageBreak/>
        <w:t>causing harm or significant inconveniences to others.</w:t>
      </w:r>
      <w:r>
        <w:rPr>
          <w:sz w:val="24"/>
          <w:szCs w:val="24"/>
          <w:highlight w:val="white"/>
          <w:vertAlign w:val="superscript"/>
        </w:rPr>
        <w:footnoteReference w:id="113"/>
      </w:r>
      <w:r>
        <w:rPr>
          <w:sz w:val="24"/>
          <w:szCs w:val="24"/>
          <w:highlight w:val="white"/>
        </w:rPr>
        <w:t xml:space="preserve"> Such restrictions cannot be intended to punish dissent against the government, particularly to figures </w:t>
      </w:r>
      <w:r>
        <w:rPr>
          <w:sz w:val="24"/>
          <w:szCs w:val="24"/>
        </w:rPr>
        <w:t xml:space="preserve">subject to criticism </w:t>
      </w:r>
      <w:r>
        <w:rPr>
          <w:sz w:val="24"/>
          <w:szCs w:val="24"/>
          <w:highlight w:val="white"/>
        </w:rPr>
        <w:t>such as the head of the State.</w:t>
      </w:r>
      <w:r>
        <w:rPr>
          <w:sz w:val="24"/>
          <w:szCs w:val="24"/>
          <w:highlight w:val="white"/>
          <w:vertAlign w:val="superscript"/>
        </w:rPr>
        <w:footnoteReference w:id="114"/>
      </w:r>
      <w:r>
        <w:rPr>
          <w:sz w:val="24"/>
          <w:szCs w:val="24"/>
          <w:highlight w:val="white"/>
        </w:rPr>
        <w:t xml:space="preserve"> </w:t>
      </w:r>
    </w:p>
    <w:p w14:paraId="6C266D18" w14:textId="2EF231B7" w:rsidR="008C2177" w:rsidRDefault="00000000" w:rsidP="00015CF2">
      <w:pPr>
        <w:spacing w:before="240" w:after="240" w:line="480" w:lineRule="auto"/>
        <w:ind w:firstLine="720"/>
        <w:jc w:val="both"/>
        <w:rPr>
          <w:sz w:val="24"/>
          <w:szCs w:val="24"/>
        </w:rPr>
      </w:pPr>
      <w:r>
        <w:rPr>
          <w:sz w:val="24"/>
          <w:szCs w:val="24"/>
          <w:highlight w:val="white"/>
        </w:rPr>
        <w:t xml:space="preserve">In </w:t>
      </w:r>
      <w:r>
        <w:rPr>
          <w:i/>
          <w:sz w:val="24"/>
          <w:szCs w:val="24"/>
          <w:highlight w:val="white"/>
        </w:rPr>
        <w:t>Stern Taulats v. Spain</w:t>
      </w:r>
      <w:r w:rsidR="00862979">
        <w:rPr>
          <w:i/>
          <w:sz w:val="24"/>
          <w:szCs w:val="24"/>
          <w:highlight w:val="white"/>
        </w:rPr>
        <w:fldChar w:fldCharType="begin"/>
      </w:r>
      <w:r w:rsidR="00862979">
        <w:instrText xml:space="preserve"> TA \l "</w:instrText>
      </w:r>
      <w:r w:rsidR="00862979" w:rsidRPr="002A466F">
        <w:rPr>
          <w:i/>
          <w:sz w:val="24"/>
          <w:szCs w:val="24"/>
        </w:rPr>
        <w:instrText>Stern Taulats and Roura Capellera v. Spain</w:instrText>
      </w:r>
      <w:r w:rsidR="00862979" w:rsidRPr="002A466F">
        <w:rPr>
          <w:sz w:val="24"/>
          <w:szCs w:val="24"/>
        </w:rPr>
        <w:instrText xml:space="preserve"> (Judgement) ECHR</w:instrText>
      </w:r>
      <w:r w:rsidR="00862979" w:rsidRPr="002A466F">
        <w:rPr>
          <w:i/>
          <w:sz w:val="24"/>
          <w:szCs w:val="24"/>
        </w:rPr>
        <w:instrText xml:space="preserve"> </w:instrText>
      </w:r>
      <w:r w:rsidR="00862979" w:rsidRPr="002A466F">
        <w:rPr>
          <w:sz w:val="24"/>
          <w:szCs w:val="24"/>
        </w:rPr>
        <w:instrText>Apps. Nos. 51168/15 and 51186/15 (13 May 2018) [</w:instrText>
      </w:r>
      <w:r w:rsidR="00862979" w:rsidRPr="002A466F">
        <w:rPr>
          <w:i/>
          <w:sz w:val="24"/>
          <w:szCs w:val="24"/>
          <w:highlight w:val="white"/>
        </w:rPr>
        <w:instrText>Stern Taulats v. Spain</w:instrText>
      </w:r>
      <w:r w:rsidR="00862979" w:rsidRPr="002A466F">
        <w:rPr>
          <w:sz w:val="24"/>
          <w:szCs w:val="24"/>
        </w:rPr>
        <w:instrText>]</w:instrText>
      </w:r>
      <w:r w:rsidR="00862979">
        <w:instrText xml:space="preserve">" \s "Stern Taulats v. Spain" \c 4 </w:instrText>
      </w:r>
      <w:r w:rsidR="00862979">
        <w:rPr>
          <w:i/>
          <w:sz w:val="24"/>
          <w:szCs w:val="24"/>
          <w:highlight w:val="white"/>
        </w:rPr>
        <w:fldChar w:fldCharType="end"/>
      </w:r>
      <w:r>
        <w:rPr>
          <w:sz w:val="24"/>
          <w:szCs w:val="24"/>
          <w:highlight w:val="white"/>
        </w:rPr>
        <w:t>, the ECHR held that even burning a large size photograph of the Kings of Spain in a public plaza did not constitute a pressing social need that justified the restriction of the rights of freedom of expression and assembly.</w:t>
      </w:r>
      <w:r>
        <w:rPr>
          <w:sz w:val="24"/>
          <w:szCs w:val="24"/>
          <w:highlight w:val="white"/>
          <w:vertAlign w:val="superscript"/>
        </w:rPr>
        <w:footnoteReference w:id="115"/>
      </w:r>
      <w:r>
        <w:rPr>
          <w:sz w:val="24"/>
          <w:szCs w:val="24"/>
          <w:highlight w:val="white"/>
        </w:rPr>
        <w:t xml:space="preserve"> This</w:t>
      </w:r>
      <w:r w:rsidR="00AA22D2">
        <w:rPr>
          <w:sz w:val="24"/>
          <w:szCs w:val="24"/>
          <w:highlight w:val="white"/>
        </w:rPr>
        <w:t xml:space="preserve"> is</w:t>
      </w:r>
      <w:r>
        <w:rPr>
          <w:sz w:val="24"/>
          <w:szCs w:val="24"/>
          <w:highlight w:val="white"/>
        </w:rPr>
        <w:t xml:space="preserve"> because the previous act fell within the scope of political expression, and not personal criticism of the monarchy.</w:t>
      </w:r>
      <w:r>
        <w:rPr>
          <w:sz w:val="24"/>
          <w:szCs w:val="24"/>
          <w:highlight w:val="white"/>
          <w:vertAlign w:val="superscript"/>
        </w:rPr>
        <w:footnoteReference w:id="116"/>
      </w:r>
      <w:r>
        <w:rPr>
          <w:sz w:val="24"/>
          <w:szCs w:val="24"/>
          <w:highlight w:val="white"/>
        </w:rPr>
        <w:t xml:space="preserve"> </w:t>
      </w:r>
    </w:p>
    <w:p w14:paraId="19342F14" w14:textId="7EE150E9" w:rsidR="008C2177" w:rsidRDefault="00000000" w:rsidP="00015CF2">
      <w:pPr>
        <w:spacing w:before="240" w:after="240" w:line="480" w:lineRule="auto"/>
        <w:ind w:firstLine="720"/>
        <w:jc w:val="both"/>
        <w:rPr>
          <w:sz w:val="24"/>
          <w:szCs w:val="24"/>
          <w:highlight w:val="white"/>
        </w:rPr>
      </w:pPr>
      <w:r>
        <w:rPr>
          <w:sz w:val="24"/>
          <w:szCs w:val="24"/>
          <w:highlight w:val="white"/>
        </w:rPr>
        <w:t>The peaceful protests made by the Sterren Forty did not constitute nor encourage any act of violence that disrupted ordinary life inside Remisia. There are no records that, when forming the human chain in the Sterren Palace</w:t>
      </w:r>
      <w:r w:rsidR="002F5A9D">
        <w:rPr>
          <w:sz w:val="24"/>
          <w:szCs w:val="24"/>
          <w:highlight w:val="white"/>
        </w:rPr>
        <w:t>,</w:t>
      </w:r>
      <w:r>
        <w:rPr>
          <w:sz w:val="24"/>
          <w:szCs w:val="24"/>
          <w:highlight w:val="white"/>
        </w:rPr>
        <w:t xml:space="preserve"> they caused any harm or inconvenience to others.</w:t>
      </w:r>
      <w:r>
        <w:rPr>
          <w:sz w:val="24"/>
          <w:szCs w:val="24"/>
          <w:highlight w:val="white"/>
          <w:vertAlign w:val="superscript"/>
        </w:rPr>
        <w:footnoteReference w:id="117"/>
      </w:r>
      <w:r>
        <w:rPr>
          <w:sz w:val="24"/>
          <w:szCs w:val="24"/>
          <w:highlight w:val="white"/>
        </w:rPr>
        <w:t xml:space="preserve"> Instead, their conduct was a political expression against the Queen</w:t>
      </w:r>
      <w:r w:rsidR="00517D9E">
        <w:rPr>
          <w:sz w:val="24"/>
          <w:szCs w:val="24"/>
          <w:highlight w:val="white"/>
        </w:rPr>
        <w:t>’</w:t>
      </w:r>
      <w:r>
        <w:rPr>
          <w:sz w:val="24"/>
          <w:szCs w:val="24"/>
          <w:highlight w:val="white"/>
        </w:rPr>
        <w:t xml:space="preserve">s </w:t>
      </w:r>
      <w:r w:rsidR="002F5A9D">
        <w:rPr>
          <w:sz w:val="24"/>
          <w:szCs w:val="24"/>
          <w:highlight w:val="white"/>
        </w:rPr>
        <w:t>G</w:t>
      </w:r>
      <w:r>
        <w:rPr>
          <w:sz w:val="24"/>
          <w:szCs w:val="24"/>
          <w:highlight w:val="white"/>
        </w:rPr>
        <w:t>overnment decisions that endangered Remisians’ health and access to adequate water services,</w:t>
      </w:r>
      <w:r>
        <w:rPr>
          <w:sz w:val="24"/>
          <w:szCs w:val="24"/>
          <w:highlight w:val="white"/>
          <w:vertAlign w:val="superscript"/>
        </w:rPr>
        <w:footnoteReference w:id="118"/>
      </w:r>
      <w:r>
        <w:rPr>
          <w:sz w:val="24"/>
          <w:szCs w:val="24"/>
          <w:highlight w:val="white"/>
        </w:rPr>
        <w:t xml:space="preserve"> and not a personal criticism of herself. Remisia intended to punish dissent against its head of State and silence the students’ speech in opposition to the </w:t>
      </w:r>
      <w:r w:rsidR="0021754D">
        <w:rPr>
          <w:sz w:val="24"/>
          <w:szCs w:val="24"/>
          <w:highlight w:val="white"/>
        </w:rPr>
        <w:t>G</w:t>
      </w:r>
      <w:r>
        <w:rPr>
          <w:sz w:val="24"/>
          <w:szCs w:val="24"/>
          <w:highlight w:val="white"/>
        </w:rPr>
        <w:t>overnment.</w:t>
      </w:r>
      <w:r>
        <w:rPr>
          <w:sz w:val="24"/>
          <w:szCs w:val="24"/>
          <w:highlight w:val="white"/>
          <w:vertAlign w:val="superscript"/>
        </w:rPr>
        <w:footnoteReference w:id="119"/>
      </w:r>
      <w:r>
        <w:rPr>
          <w:sz w:val="24"/>
          <w:szCs w:val="24"/>
          <w:highlight w:val="white"/>
        </w:rPr>
        <w:t xml:space="preserve">  </w:t>
      </w:r>
    </w:p>
    <w:p w14:paraId="01FEC166" w14:textId="17182579" w:rsidR="008C2177" w:rsidRDefault="00000000" w:rsidP="00015CF2">
      <w:pPr>
        <w:spacing w:before="240" w:after="240" w:line="480" w:lineRule="auto"/>
        <w:ind w:firstLine="720"/>
        <w:jc w:val="both"/>
        <w:rPr>
          <w:sz w:val="24"/>
          <w:szCs w:val="24"/>
          <w:highlight w:val="white"/>
        </w:rPr>
      </w:pPr>
      <w:r>
        <w:rPr>
          <w:sz w:val="24"/>
          <w:szCs w:val="24"/>
          <w:highlight w:val="white"/>
        </w:rPr>
        <w:t>Thus, Restrictions on the Sterren Fort</w:t>
      </w:r>
      <w:r w:rsidR="00517D9E">
        <w:rPr>
          <w:sz w:val="24"/>
          <w:szCs w:val="24"/>
          <w:highlight w:val="white"/>
        </w:rPr>
        <w:t>y’</w:t>
      </w:r>
      <w:r>
        <w:rPr>
          <w:sz w:val="24"/>
          <w:szCs w:val="24"/>
          <w:highlight w:val="white"/>
        </w:rPr>
        <w:t xml:space="preserve">s rights of free expression and assembly were not </w:t>
      </w:r>
      <w:r>
        <w:rPr>
          <w:sz w:val="24"/>
          <w:szCs w:val="24"/>
          <w:highlight w:val="white"/>
        </w:rPr>
        <w:lastRenderedPageBreak/>
        <w:t>necessary</w:t>
      </w:r>
      <w:r w:rsidR="003B591F">
        <w:rPr>
          <w:sz w:val="24"/>
          <w:szCs w:val="24"/>
          <w:highlight w:val="white"/>
        </w:rPr>
        <w:t>,</w:t>
      </w:r>
      <w:r>
        <w:rPr>
          <w:sz w:val="24"/>
          <w:szCs w:val="24"/>
          <w:highlight w:val="white"/>
        </w:rPr>
        <w:t xml:space="preserve"> as there was no pressing social need </w:t>
      </w:r>
      <w:r w:rsidR="005D6E6A">
        <w:rPr>
          <w:sz w:val="24"/>
          <w:szCs w:val="24"/>
          <w:highlight w:val="white"/>
        </w:rPr>
        <w:t>that</w:t>
      </w:r>
      <w:r>
        <w:rPr>
          <w:sz w:val="24"/>
          <w:szCs w:val="24"/>
          <w:highlight w:val="white"/>
        </w:rPr>
        <w:t xml:space="preserve"> justify it.</w:t>
      </w:r>
    </w:p>
    <w:p w14:paraId="254E2333" w14:textId="1F1471B9" w:rsidR="008C2177" w:rsidRPr="00420BF9" w:rsidRDefault="00000000" w:rsidP="00015CF2">
      <w:pPr>
        <w:pStyle w:val="Ttulo3"/>
        <w:numPr>
          <w:ilvl w:val="0"/>
          <w:numId w:val="29"/>
        </w:numPr>
        <w:spacing w:before="240" w:after="240" w:line="480" w:lineRule="auto"/>
        <w:jc w:val="both"/>
        <w:rPr>
          <w:sz w:val="24"/>
          <w:szCs w:val="24"/>
          <w:highlight w:val="white"/>
        </w:rPr>
      </w:pPr>
      <w:bookmarkStart w:id="30" w:name="_Toc155961572"/>
      <w:r w:rsidRPr="00420BF9">
        <w:rPr>
          <w:sz w:val="24"/>
          <w:szCs w:val="24"/>
          <w:highlight w:val="white"/>
        </w:rPr>
        <w:t>This Court can and should order the restitution of the Sterren Forty</w:t>
      </w:r>
      <w:r w:rsidR="005D6E6A">
        <w:rPr>
          <w:sz w:val="24"/>
          <w:szCs w:val="24"/>
          <w:highlight w:val="white"/>
        </w:rPr>
        <w:t>’</w:t>
      </w:r>
      <w:r w:rsidRPr="00420BF9">
        <w:rPr>
          <w:sz w:val="24"/>
          <w:szCs w:val="24"/>
          <w:highlight w:val="white"/>
        </w:rPr>
        <w:t>s Remisian nationality</w:t>
      </w:r>
      <w:bookmarkEnd w:id="30"/>
    </w:p>
    <w:p w14:paraId="41A91766" w14:textId="3FCBF73A" w:rsidR="008C2177" w:rsidRDefault="00000000" w:rsidP="00015CF2">
      <w:pPr>
        <w:spacing w:before="240" w:after="240" w:line="480" w:lineRule="auto"/>
        <w:ind w:firstLine="720"/>
        <w:jc w:val="both"/>
        <w:rPr>
          <w:sz w:val="24"/>
          <w:szCs w:val="24"/>
          <w:highlight w:val="white"/>
        </w:rPr>
      </w:pPr>
      <w:r>
        <w:rPr>
          <w:sz w:val="24"/>
          <w:szCs w:val="24"/>
          <w:highlight w:val="white"/>
        </w:rPr>
        <w:t>Remisia violated its obligations under international law by depriving</w:t>
      </w:r>
      <w:r w:rsidR="0021754D">
        <w:rPr>
          <w:sz w:val="24"/>
          <w:szCs w:val="24"/>
          <w:highlight w:val="white"/>
        </w:rPr>
        <w:t xml:space="preserve"> the</w:t>
      </w:r>
      <w:r>
        <w:rPr>
          <w:sz w:val="24"/>
          <w:szCs w:val="24"/>
          <w:highlight w:val="white"/>
        </w:rPr>
        <w:t xml:space="preserve"> Sterren Forty’s nationality and therefore is obliged to restitute it.</w:t>
      </w:r>
      <w:r>
        <w:rPr>
          <w:sz w:val="24"/>
          <w:szCs w:val="24"/>
          <w:highlight w:val="white"/>
          <w:vertAlign w:val="superscript"/>
        </w:rPr>
        <w:footnoteReference w:id="120"/>
      </w:r>
      <w:r>
        <w:rPr>
          <w:sz w:val="24"/>
          <w:szCs w:val="24"/>
          <w:highlight w:val="white"/>
        </w:rPr>
        <w:t xml:space="preserve"> As held by the International Law Commission, restitution can be requested by indirectly affected States for the benefit of the individuals who suffered the injury.</w:t>
      </w:r>
      <w:r>
        <w:rPr>
          <w:sz w:val="24"/>
          <w:szCs w:val="24"/>
          <w:highlight w:val="white"/>
          <w:vertAlign w:val="superscript"/>
        </w:rPr>
        <w:footnoteReference w:id="121"/>
      </w:r>
      <w:r>
        <w:rPr>
          <w:sz w:val="24"/>
          <w:szCs w:val="24"/>
          <w:highlight w:val="white"/>
        </w:rPr>
        <w:t xml:space="preserve"> Hence, as a State seeking to fight against the plight of statelessness,</w:t>
      </w:r>
      <w:r>
        <w:rPr>
          <w:sz w:val="24"/>
          <w:szCs w:val="24"/>
          <w:highlight w:val="white"/>
          <w:vertAlign w:val="superscript"/>
        </w:rPr>
        <w:footnoteReference w:id="122"/>
      </w:r>
      <w:r>
        <w:rPr>
          <w:sz w:val="24"/>
          <w:szCs w:val="24"/>
          <w:highlight w:val="white"/>
        </w:rPr>
        <w:t xml:space="preserve"> Antrano requests that this Court order the restitution of the Sterren Forty</w:t>
      </w:r>
      <w:r w:rsidR="005D6E6A">
        <w:rPr>
          <w:sz w:val="24"/>
          <w:szCs w:val="24"/>
          <w:highlight w:val="white"/>
        </w:rPr>
        <w:t>’</w:t>
      </w:r>
      <w:r>
        <w:rPr>
          <w:sz w:val="24"/>
          <w:szCs w:val="24"/>
          <w:highlight w:val="white"/>
        </w:rPr>
        <w:t>s Remisian nationality.</w:t>
      </w:r>
    </w:p>
    <w:p w14:paraId="0EF3738F" w14:textId="77777777" w:rsidR="008C2177" w:rsidRDefault="008C2177" w:rsidP="00015CF2">
      <w:pPr>
        <w:spacing w:before="240" w:line="480" w:lineRule="auto"/>
        <w:ind w:firstLine="720"/>
        <w:jc w:val="both"/>
        <w:rPr>
          <w:sz w:val="24"/>
          <w:szCs w:val="24"/>
          <w:highlight w:val="white"/>
        </w:rPr>
      </w:pPr>
    </w:p>
    <w:p w14:paraId="2CA4DDB6" w14:textId="77777777" w:rsidR="008C2177" w:rsidRDefault="008C2177" w:rsidP="00015CF2">
      <w:pPr>
        <w:spacing w:before="240" w:line="480" w:lineRule="auto"/>
        <w:ind w:firstLine="720"/>
        <w:jc w:val="both"/>
        <w:rPr>
          <w:sz w:val="24"/>
          <w:szCs w:val="24"/>
          <w:highlight w:val="white"/>
        </w:rPr>
      </w:pPr>
    </w:p>
    <w:p w14:paraId="4BDA61C3" w14:textId="77777777" w:rsidR="008C2177" w:rsidRDefault="008C2177" w:rsidP="00015CF2">
      <w:pPr>
        <w:spacing w:before="240" w:line="480" w:lineRule="auto"/>
        <w:ind w:firstLine="720"/>
        <w:jc w:val="both"/>
        <w:rPr>
          <w:sz w:val="24"/>
          <w:szCs w:val="24"/>
          <w:highlight w:val="white"/>
        </w:rPr>
      </w:pPr>
    </w:p>
    <w:p w14:paraId="5DC538F3" w14:textId="7226A5B4" w:rsidR="00892401" w:rsidRDefault="00862979" w:rsidP="00015CF2">
      <w:pPr>
        <w:spacing w:before="240" w:line="480" w:lineRule="auto"/>
        <w:jc w:val="both"/>
        <w:rPr>
          <w:b/>
          <w:sz w:val="24"/>
          <w:szCs w:val="24"/>
          <w:highlight w:val="white"/>
        </w:rPr>
      </w:pPr>
      <w:r>
        <w:rPr>
          <w:b/>
          <w:sz w:val="24"/>
          <w:szCs w:val="24"/>
          <w:highlight w:val="white"/>
        </w:rPr>
        <w:br w:type="page"/>
      </w:r>
    </w:p>
    <w:p w14:paraId="02ADCE4C" w14:textId="5724E6D2" w:rsidR="008C2177" w:rsidRPr="00892401" w:rsidRDefault="00000000" w:rsidP="00015CF2">
      <w:pPr>
        <w:pStyle w:val="Ttulo2"/>
        <w:spacing w:before="240" w:line="480" w:lineRule="auto"/>
        <w:jc w:val="both"/>
        <w:rPr>
          <w:sz w:val="24"/>
          <w:szCs w:val="24"/>
          <w:highlight w:val="white"/>
        </w:rPr>
      </w:pPr>
      <w:bookmarkStart w:id="31" w:name="_Toc155961573"/>
      <w:r w:rsidRPr="00892401">
        <w:rPr>
          <w:sz w:val="24"/>
          <w:szCs w:val="24"/>
          <w:highlight w:val="white"/>
        </w:rPr>
        <w:lastRenderedPageBreak/>
        <w:t>III. ANTRANO DID NOT VIOLATE INTERNATIONAL LAW WHEN IT REFUSED TO PROVIDE REMISIA CONSULAR ACCESS TO MS. SAKI SHAW DURING HER TIME AS A PRISONER IN ANTRANO</w:t>
      </w:r>
      <w:bookmarkEnd w:id="31"/>
    </w:p>
    <w:p w14:paraId="60CFF4CD" w14:textId="2974C39E" w:rsidR="008C2177" w:rsidRDefault="00000000" w:rsidP="00015CF2">
      <w:pPr>
        <w:widowControl/>
        <w:shd w:val="clear" w:color="auto" w:fill="FFFFFF"/>
        <w:spacing w:before="240" w:after="200" w:line="480" w:lineRule="auto"/>
        <w:jc w:val="both"/>
        <w:rPr>
          <w:sz w:val="24"/>
          <w:szCs w:val="24"/>
        </w:rPr>
      </w:pPr>
      <w:r>
        <w:rPr>
          <w:sz w:val="24"/>
          <w:szCs w:val="24"/>
        </w:rPr>
        <w:t>Antrano does not recognize nationality granted solely by investment.</w:t>
      </w:r>
      <w:r>
        <w:rPr>
          <w:sz w:val="24"/>
          <w:szCs w:val="24"/>
          <w:vertAlign w:val="superscript"/>
        </w:rPr>
        <w:footnoteReference w:id="123"/>
      </w:r>
      <w:r>
        <w:rPr>
          <w:sz w:val="24"/>
          <w:szCs w:val="24"/>
        </w:rPr>
        <w:t xml:space="preserve"> Such was the case with Ms. Shaw, a Molvanian national by birth who purchased Remisian citizenship.</w:t>
      </w:r>
      <w:r>
        <w:rPr>
          <w:sz w:val="24"/>
          <w:szCs w:val="24"/>
          <w:vertAlign w:val="superscript"/>
        </w:rPr>
        <w:footnoteReference w:id="124"/>
      </w:r>
      <w:r>
        <w:rPr>
          <w:sz w:val="24"/>
          <w:szCs w:val="24"/>
        </w:rPr>
        <w:t xml:space="preserve"> When she was detained in Antrano</w:t>
      </w:r>
      <w:r w:rsidR="009D2BF1">
        <w:rPr>
          <w:sz w:val="24"/>
          <w:szCs w:val="24"/>
        </w:rPr>
        <w:t>’</w:t>
      </w:r>
      <w:r>
        <w:rPr>
          <w:sz w:val="24"/>
          <w:szCs w:val="24"/>
        </w:rPr>
        <w:t>s territory pursuant to an extradition process, Antrano denied Remisia’s request to provide consular assistance to her.</w:t>
      </w:r>
      <w:r>
        <w:rPr>
          <w:sz w:val="24"/>
          <w:szCs w:val="24"/>
          <w:vertAlign w:val="superscript"/>
        </w:rPr>
        <w:footnoteReference w:id="125"/>
      </w:r>
      <w:r>
        <w:rPr>
          <w:sz w:val="24"/>
          <w:szCs w:val="24"/>
        </w:rPr>
        <w:t xml:space="preserve"> Although Remisia claims that this violated international law, </w:t>
      </w:r>
      <w:r w:rsidR="007D1B71">
        <w:rPr>
          <w:sz w:val="24"/>
          <w:szCs w:val="24"/>
        </w:rPr>
        <w:t>Antrano</w:t>
      </w:r>
      <w:r>
        <w:rPr>
          <w:sz w:val="24"/>
          <w:szCs w:val="24"/>
        </w:rPr>
        <w:t xml:space="preserve"> argues that </w:t>
      </w:r>
      <w:r>
        <w:rPr>
          <w:b/>
          <w:sz w:val="24"/>
          <w:szCs w:val="24"/>
        </w:rPr>
        <w:t>(A)</w:t>
      </w:r>
      <w:r>
        <w:rPr>
          <w:sz w:val="24"/>
          <w:szCs w:val="24"/>
        </w:rPr>
        <w:t xml:space="preserve"> it is not obliged to recognize Ms. Shaw’s Remisian nationality and </w:t>
      </w:r>
      <w:r>
        <w:rPr>
          <w:b/>
          <w:sz w:val="24"/>
          <w:szCs w:val="24"/>
        </w:rPr>
        <w:t>(B)</w:t>
      </w:r>
      <w:r>
        <w:rPr>
          <w:sz w:val="24"/>
          <w:szCs w:val="24"/>
        </w:rPr>
        <w:t xml:space="preserve"> it complied with its obligations under Article 36 of the VCCR</w:t>
      </w:r>
      <w:r w:rsidR="000B5DB7">
        <w:rPr>
          <w:sz w:val="24"/>
          <w:szCs w:val="24"/>
        </w:rPr>
        <w:fldChar w:fldCharType="begin"/>
      </w:r>
      <w:r w:rsidR="000B5DB7">
        <w:rPr>
          <w:sz w:val="24"/>
          <w:szCs w:val="24"/>
        </w:rPr>
        <w:instrText xml:space="preserve"> TA \s "VCCR" </w:instrText>
      </w:r>
      <w:r w:rsidR="000B5DB7">
        <w:rPr>
          <w:sz w:val="24"/>
          <w:szCs w:val="24"/>
        </w:rPr>
        <w:fldChar w:fldCharType="end"/>
      </w:r>
      <w:r>
        <w:rPr>
          <w:sz w:val="24"/>
          <w:szCs w:val="24"/>
        </w:rPr>
        <w:t xml:space="preserve">. </w:t>
      </w:r>
    </w:p>
    <w:p w14:paraId="24EF4959" w14:textId="6FD6ED19" w:rsidR="008C2177" w:rsidRPr="00290DF4" w:rsidRDefault="00000000" w:rsidP="00015CF2">
      <w:pPr>
        <w:pStyle w:val="Ttulo3"/>
        <w:numPr>
          <w:ilvl w:val="0"/>
          <w:numId w:val="33"/>
        </w:numPr>
        <w:spacing w:before="240" w:line="480" w:lineRule="auto"/>
        <w:jc w:val="both"/>
        <w:rPr>
          <w:sz w:val="24"/>
          <w:szCs w:val="24"/>
        </w:rPr>
      </w:pPr>
      <w:bookmarkStart w:id="32" w:name="_Toc155961574"/>
      <w:r w:rsidRPr="00290DF4">
        <w:rPr>
          <w:sz w:val="24"/>
          <w:szCs w:val="24"/>
        </w:rPr>
        <w:t>Antrano is not obliged to recognize Ms. Shaw</w:t>
      </w:r>
      <w:r w:rsidR="009D2BF1">
        <w:rPr>
          <w:sz w:val="24"/>
          <w:szCs w:val="24"/>
        </w:rPr>
        <w:t>’</w:t>
      </w:r>
      <w:r w:rsidRPr="00290DF4">
        <w:rPr>
          <w:sz w:val="24"/>
          <w:szCs w:val="24"/>
        </w:rPr>
        <w:t>s Remisian nationality</w:t>
      </w:r>
      <w:bookmarkEnd w:id="32"/>
    </w:p>
    <w:p w14:paraId="0ADDA2E4" w14:textId="5489375C" w:rsidR="008C2177" w:rsidRDefault="00000000" w:rsidP="00015CF2">
      <w:pPr>
        <w:widowControl/>
        <w:shd w:val="clear" w:color="auto" w:fill="FFFFFF"/>
        <w:spacing w:before="240" w:after="200" w:line="480" w:lineRule="auto"/>
        <w:ind w:firstLine="720"/>
        <w:jc w:val="both"/>
        <w:rPr>
          <w:sz w:val="24"/>
          <w:szCs w:val="24"/>
        </w:rPr>
      </w:pPr>
      <w:r>
        <w:rPr>
          <w:sz w:val="24"/>
          <w:szCs w:val="24"/>
        </w:rPr>
        <w:t>The VCCR</w:t>
      </w:r>
      <w:r w:rsidR="000B5DB7">
        <w:rPr>
          <w:sz w:val="24"/>
          <w:szCs w:val="24"/>
        </w:rPr>
        <w:fldChar w:fldCharType="begin"/>
      </w:r>
      <w:r w:rsidR="000B5DB7">
        <w:rPr>
          <w:sz w:val="24"/>
          <w:szCs w:val="24"/>
        </w:rPr>
        <w:instrText xml:space="preserve"> TA \s "VCCR" </w:instrText>
      </w:r>
      <w:r w:rsidR="000B5DB7">
        <w:rPr>
          <w:sz w:val="24"/>
          <w:szCs w:val="24"/>
        </w:rPr>
        <w:fldChar w:fldCharType="end"/>
      </w:r>
      <w:r>
        <w:rPr>
          <w:sz w:val="24"/>
          <w:szCs w:val="24"/>
        </w:rPr>
        <w:t xml:space="preserve"> sets the rules governing consular relations between the parties.</w:t>
      </w:r>
      <w:r>
        <w:rPr>
          <w:sz w:val="24"/>
          <w:szCs w:val="24"/>
          <w:vertAlign w:val="superscript"/>
        </w:rPr>
        <w:footnoteReference w:id="126"/>
      </w:r>
      <w:r>
        <w:rPr>
          <w:sz w:val="24"/>
          <w:szCs w:val="24"/>
        </w:rPr>
        <w:t xml:space="preserve"> It establishes, </w:t>
      </w:r>
      <w:r>
        <w:rPr>
          <w:i/>
          <w:sz w:val="24"/>
          <w:szCs w:val="24"/>
        </w:rPr>
        <w:t>inter alia</w:t>
      </w:r>
      <w:r>
        <w:rPr>
          <w:sz w:val="24"/>
          <w:szCs w:val="24"/>
        </w:rPr>
        <w:t>, the right of consular assistance to nationals of the sending State detained in the territory of the receiving State.</w:t>
      </w:r>
      <w:r>
        <w:rPr>
          <w:sz w:val="24"/>
          <w:szCs w:val="24"/>
          <w:vertAlign w:val="superscript"/>
        </w:rPr>
        <w:footnoteReference w:id="127"/>
      </w:r>
      <w:r>
        <w:rPr>
          <w:sz w:val="24"/>
          <w:szCs w:val="24"/>
        </w:rPr>
        <w:t xml:space="preserve"> As the VCCR does not regulate nationality, the rules of customary international law determine who is a </w:t>
      </w:r>
      <w:r w:rsidR="009D2BF1">
        <w:rPr>
          <w:sz w:val="24"/>
          <w:szCs w:val="24"/>
        </w:rPr>
        <w:t>‘</w:t>
      </w:r>
      <w:r>
        <w:rPr>
          <w:sz w:val="24"/>
          <w:szCs w:val="24"/>
        </w:rPr>
        <w:t>national of the sending State</w:t>
      </w:r>
      <w:r w:rsidR="009D2BF1">
        <w:rPr>
          <w:sz w:val="24"/>
          <w:szCs w:val="24"/>
        </w:rPr>
        <w:t>.’</w:t>
      </w:r>
      <w:r>
        <w:rPr>
          <w:sz w:val="24"/>
          <w:szCs w:val="24"/>
          <w:vertAlign w:val="superscript"/>
        </w:rPr>
        <w:footnoteReference w:id="128"/>
      </w:r>
      <w:r>
        <w:rPr>
          <w:sz w:val="24"/>
          <w:szCs w:val="24"/>
        </w:rPr>
        <w:t xml:space="preserve"> In this regard, Antrano is not obliged to recognize Ms. Shaw’s Remisian nationality since </w:t>
      </w:r>
      <w:r>
        <w:rPr>
          <w:b/>
          <w:sz w:val="24"/>
          <w:szCs w:val="24"/>
        </w:rPr>
        <w:t>(1)</w:t>
      </w:r>
      <w:r>
        <w:rPr>
          <w:sz w:val="24"/>
          <w:szCs w:val="24"/>
        </w:rPr>
        <w:t xml:space="preserve"> the Naturalization </w:t>
      </w:r>
      <w:r>
        <w:rPr>
          <w:sz w:val="24"/>
          <w:szCs w:val="24"/>
        </w:rPr>
        <w:lastRenderedPageBreak/>
        <w:t>by Investment Act (‘NIA’) is not supported by customary international law</w:t>
      </w:r>
      <w:r w:rsidR="0021754D">
        <w:rPr>
          <w:sz w:val="24"/>
          <w:szCs w:val="24"/>
        </w:rPr>
        <w:t>,</w:t>
      </w:r>
      <w:r>
        <w:rPr>
          <w:sz w:val="24"/>
          <w:szCs w:val="24"/>
        </w:rPr>
        <w:t xml:space="preserve"> and </w:t>
      </w:r>
      <w:r>
        <w:rPr>
          <w:b/>
          <w:sz w:val="24"/>
          <w:szCs w:val="24"/>
        </w:rPr>
        <w:t xml:space="preserve">(2) </w:t>
      </w:r>
      <w:r>
        <w:rPr>
          <w:sz w:val="24"/>
          <w:szCs w:val="24"/>
        </w:rPr>
        <w:t>Antrano is not obliged to recognize Ms. Shaw’s Remisian nationality based on the genuine link principle.</w:t>
      </w:r>
    </w:p>
    <w:p w14:paraId="73BECA35" w14:textId="10979B7A" w:rsidR="008C2177" w:rsidRPr="00290DF4" w:rsidRDefault="00000000" w:rsidP="00015CF2">
      <w:pPr>
        <w:pStyle w:val="Ttulo4"/>
        <w:numPr>
          <w:ilvl w:val="0"/>
          <w:numId w:val="34"/>
        </w:numPr>
        <w:spacing w:line="480" w:lineRule="auto"/>
        <w:jc w:val="both"/>
        <w:rPr>
          <w:b w:val="0"/>
          <w:bCs/>
          <w:u w:val="single"/>
        </w:rPr>
      </w:pPr>
      <w:bookmarkStart w:id="33" w:name="_Toc155961575"/>
      <w:r w:rsidRPr="00290DF4">
        <w:rPr>
          <w:b w:val="0"/>
          <w:bCs/>
          <w:u w:val="single"/>
        </w:rPr>
        <w:t>The Naturalization by Investment Act is not supported by customary international law</w:t>
      </w:r>
      <w:bookmarkEnd w:id="33"/>
    </w:p>
    <w:p w14:paraId="79605B19" w14:textId="7D847AEF" w:rsidR="008C2177" w:rsidRDefault="00000000" w:rsidP="00015CF2">
      <w:pPr>
        <w:widowControl/>
        <w:spacing w:before="240" w:after="240" w:line="480" w:lineRule="auto"/>
        <w:ind w:firstLine="720"/>
        <w:jc w:val="both"/>
        <w:rPr>
          <w:sz w:val="24"/>
          <w:szCs w:val="24"/>
        </w:rPr>
      </w:pPr>
      <w:r>
        <w:rPr>
          <w:sz w:val="24"/>
          <w:szCs w:val="24"/>
        </w:rPr>
        <w:t>Antrano is not obliged to recognize Remisian nationality granted in a manner inconsistent with international law.</w:t>
      </w:r>
      <w:r>
        <w:rPr>
          <w:sz w:val="24"/>
          <w:szCs w:val="24"/>
          <w:vertAlign w:val="superscript"/>
        </w:rPr>
        <w:footnoteReference w:id="129"/>
      </w:r>
      <w:r>
        <w:rPr>
          <w:sz w:val="24"/>
          <w:szCs w:val="24"/>
        </w:rPr>
        <w:t xml:space="preserve"> Particularly, nationality granted solely by investment or payment enjoys almost no support in State practice.</w:t>
      </w:r>
      <w:r>
        <w:rPr>
          <w:sz w:val="24"/>
          <w:szCs w:val="24"/>
          <w:vertAlign w:val="superscript"/>
        </w:rPr>
        <w:footnoteReference w:id="130"/>
      </w:r>
      <w:r>
        <w:rPr>
          <w:sz w:val="24"/>
          <w:szCs w:val="24"/>
        </w:rPr>
        <w:t xml:space="preserve"> The majority of </w:t>
      </w:r>
      <w:r w:rsidR="00470AD1">
        <w:rPr>
          <w:sz w:val="24"/>
          <w:szCs w:val="24"/>
        </w:rPr>
        <w:t>s</w:t>
      </w:r>
      <w:r>
        <w:rPr>
          <w:sz w:val="24"/>
          <w:szCs w:val="24"/>
        </w:rPr>
        <w:t xml:space="preserve">tates tend to </w:t>
      </w:r>
      <w:r w:rsidR="00FE6680">
        <w:rPr>
          <w:sz w:val="24"/>
          <w:szCs w:val="24"/>
        </w:rPr>
        <w:t xml:space="preserve">grant </w:t>
      </w:r>
      <w:r>
        <w:rPr>
          <w:sz w:val="24"/>
          <w:szCs w:val="24"/>
        </w:rPr>
        <w:t>nationality on the basis of birth or family ties,</w:t>
      </w:r>
      <w:r>
        <w:rPr>
          <w:sz w:val="24"/>
          <w:szCs w:val="24"/>
          <w:vertAlign w:val="superscript"/>
        </w:rPr>
        <w:footnoteReference w:id="131"/>
      </w:r>
      <w:r>
        <w:rPr>
          <w:sz w:val="24"/>
          <w:szCs w:val="24"/>
        </w:rPr>
        <w:t xml:space="preserve"> and investment but with habitual residency requirements.</w:t>
      </w:r>
      <w:r>
        <w:rPr>
          <w:sz w:val="24"/>
          <w:szCs w:val="24"/>
          <w:vertAlign w:val="superscript"/>
        </w:rPr>
        <w:footnoteReference w:id="132"/>
      </w:r>
      <w:r>
        <w:rPr>
          <w:sz w:val="24"/>
          <w:szCs w:val="24"/>
        </w:rPr>
        <w:t xml:space="preserve"> Moreover, </w:t>
      </w:r>
      <w:r>
        <w:rPr>
          <w:i/>
          <w:sz w:val="24"/>
          <w:szCs w:val="24"/>
        </w:rPr>
        <w:t>Opinio Juris</w:t>
      </w:r>
      <w:r>
        <w:rPr>
          <w:sz w:val="24"/>
          <w:szCs w:val="24"/>
        </w:rPr>
        <w:t xml:space="preserve"> against th</w:t>
      </w:r>
      <w:r w:rsidR="00157B25">
        <w:rPr>
          <w:sz w:val="24"/>
          <w:szCs w:val="24"/>
        </w:rPr>
        <w:t>ese</w:t>
      </w:r>
      <w:r>
        <w:rPr>
          <w:sz w:val="24"/>
          <w:szCs w:val="24"/>
        </w:rPr>
        <w:t xml:space="preserve"> kind of program</w:t>
      </w:r>
      <w:r w:rsidR="00157B25">
        <w:rPr>
          <w:sz w:val="24"/>
          <w:szCs w:val="24"/>
        </w:rPr>
        <w:t>s</w:t>
      </w:r>
      <w:r>
        <w:rPr>
          <w:sz w:val="24"/>
          <w:szCs w:val="24"/>
        </w:rPr>
        <w:t xml:space="preserve"> is reflected in the constant criticism made by international organizations,</w:t>
      </w:r>
      <w:r>
        <w:rPr>
          <w:sz w:val="24"/>
          <w:szCs w:val="24"/>
          <w:vertAlign w:val="superscript"/>
        </w:rPr>
        <w:footnoteReference w:id="133"/>
      </w:r>
      <w:r>
        <w:rPr>
          <w:sz w:val="24"/>
          <w:szCs w:val="24"/>
        </w:rPr>
        <w:t xml:space="preserve"> such as the European Union, to the </w:t>
      </w:r>
      <w:r w:rsidR="00470AD1">
        <w:rPr>
          <w:sz w:val="24"/>
          <w:szCs w:val="24"/>
        </w:rPr>
        <w:t>s</w:t>
      </w:r>
      <w:r>
        <w:rPr>
          <w:sz w:val="24"/>
          <w:szCs w:val="24"/>
        </w:rPr>
        <w:t xml:space="preserve">tates </w:t>
      </w:r>
      <w:r w:rsidR="00157B25">
        <w:rPr>
          <w:sz w:val="24"/>
          <w:szCs w:val="24"/>
        </w:rPr>
        <w:t>which</w:t>
      </w:r>
      <w:r>
        <w:rPr>
          <w:sz w:val="24"/>
          <w:szCs w:val="24"/>
        </w:rPr>
        <w:t xml:space="preserve"> allow t</w:t>
      </w:r>
      <w:r w:rsidR="00157B25">
        <w:rPr>
          <w:sz w:val="24"/>
          <w:szCs w:val="24"/>
        </w:rPr>
        <w:t>he</w:t>
      </w:r>
      <w:r>
        <w:rPr>
          <w:sz w:val="24"/>
          <w:szCs w:val="24"/>
        </w:rPr>
        <w:t xml:space="preserve"> purchase </w:t>
      </w:r>
      <w:r w:rsidR="00157B25">
        <w:rPr>
          <w:sz w:val="24"/>
          <w:szCs w:val="24"/>
        </w:rPr>
        <w:t xml:space="preserve">of </w:t>
      </w:r>
      <w:r>
        <w:rPr>
          <w:sz w:val="24"/>
          <w:szCs w:val="24"/>
        </w:rPr>
        <w:t>their nationality.</w:t>
      </w:r>
      <w:r>
        <w:rPr>
          <w:sz w:val="24"/>
          <w:szCs w:val="24"/>
          <w:vertAlign w:val="superscript"/>
        </w:rPr>
        <w:footnoteReference w:id="134"/>
      </w:r>
      <w:r>
        <w:rPr>
          <w:sz w:val="24"/>
          <w:szCs w:val="24"/>
        </w:rPr>
        <w:t xml:space="preserve"> </w:t>
      </w:r>
    </w:p>
    <w:p w14:paraId="0093B410" w14:textId="233A50E8" w:rsidR="008C2177" w:rsidRDefault="00000000" w:rsidP="00015CF2">
      <w:pPr>
        <w:widowControl/>
        <w:spacing w:before="240" w:after="240" w:line="480" w:lineRule="auto"/>
        <w:ind w:firstLine="720"/>
        <w:jc w:val="both"/>
        <w:rPr>
          <w:sz w:val="24"/>
          <w:szCs w:val="24"/>
        </w:rPr>
      </w:pPr>
      <w:r>
        <w:rPr>
          <w:sz w:val="24"/>
          <w:szCs w:val="24"/>
        </w:rPr>
        <w:lastRenderedPageBreak/>
        <w:t>Therefore, Antrano is not obliged to recognize Ms. Shaw</w:t>
      </w:r>
      <w:r w:rsidR="00FE6680">
        <w:rPr>
          <w:sz w:val="24"/>
          <w:szCs w:val="24"/>
        </w:rPr>
        <w:t>’s</w:t>
      </w:r>
      <w:r>
        <w:rPr>
          <w:sz w:val="24"/>
          <w:szCs w:val="24"/>
        </w:rPr>
        <w:t xml:space="preserve"> Remisian nationality since the NIA is not supported by customary international law.</w:t>
      </w:r>
    </w:p>
    <w:p w14:paraId="3D6F8588" w14:textId="77777777" w:rsidR="008C2177" w:rsidRPr="00290DF4" w:rsidRDefault="00000000" w:rsidP="00015CF2">
      <w:pPr>
        <w:pStyle w:val="Ttulo4"/>
        <w:numPr>
          <w:ilvl w:val="0"/>
          <w:numId w:val="34"/>
        </w:numPr>
        <w:spacing w:line="480" w:lineRule="auto"/>
        <w:jc w:val="both"/>
        <w:rPr>
          <w:b w:val="0"/>
          <w:bCs/>
          <w:u w:val="single"/>
        </w:rPr>
      </w:pPr>
      <w:bookmarkStart w:id="34" w:name="_Toc155961576"/>
      <w:r w:rsidRPr="00290DF4">
        <w:rPr>
          <w:b w:val="0"/>
          <w:bCs/>
          <w:u w:val="single"/>
        </w:rPr>
        <w:t>Antrano is not obliged to recognize Ms. Shaw’s Remisian nationality based on the genuine link principle</w:t>
      </w:r>
      <w:bookmarkEnd w:id="34"/>
    </w:p>
    <w:p w14:paraId="7A628354" w14:textId="195632C7" w:rsidR="008C2177" w:rsidRDefault="00000000" w:rsidP="00015CF2">
      <w:pPr>
        <w:widowControl/>
        <w:spacing w:before="240" w:line="480" w:lineRule="auto"/>
        <w:ind w:firstLine="720"/>
        <w:jc w:val="both"/>
        <w:rPr>
          <w:sz w:val="24"/>
          <w:szCs w:val="24"/>
        </w:rPr>
      </w:pPr>
      <w:r>
        <w:rPr>
          <w:sz w:val="24"/>
          <w:szCs w:val="24"/>
          <w:highlight w:val="white"/>
        </w:rPr>
        <w:t xml:space="preserve">The genuine link principle establishes that there must be a social fact of attachment between the State and the individual for their nationality to be recognized by other </w:t>
      </w:r>
      <w:r w:rsidR="00470AD1">
        <w:rPr>
          <w:sz w:val="24"/>
          <w:szCs w:val="24"/>
          <w:highlight w:val="white"/>
        </w:rPr>
        <w:t>s</w:t>
      </w:r>
      <w:r>
        <w:rPr>
          <w:sz w:val="24"/>
          <w:szCs w:val="24"/>
          <w:highlight w:val="white"/>
        </w:rPr>
        <w:t>tates.</w:t>
      </w:r>
      <w:r>
        <w:rPr>
          <w:sz w:val="24"/>
          <w:szCs w:val="24"/>
          <w:highlight w:val="white"/>
          <w:vertAlign w:val="superscript"/>
        </w:rPr>
        <w:footnoteReference w:id="135"/>
      </w:r>
      <w:r>
        <w:rPr>
          <w:sz w:val="24"/>
          <w:szCs w:val="24"/>
        </w:rPr>
        <w:t xml:space="preserve"> Antrano is not obliged to recognize Ms. Shaw’s Remisian nationality granted by the NIA since </w:t>
      </w:r>
      <w:r>
        <w:rPr>
          <w:b/>
          <w:sz w:val="24"/>
          <w:szCs w:val="24"/>
        </w:rPr>
        <w:t xml:space="preserve">(a) </w:t>
      </w:r>
      <w:r>
        <w:rPr>
          <w:sz w:val="24"/>
          <w:szCs w:val="24"/>
        </w:rPr>
        <w:t xml:space="preserve">the genuine link principle is applicable to this case, and </w:t>
      </w:r>
      <w:r>
        <w:rPr>
          <w:b/>
          <w:sz w:val="24"/>
          <w:szCs w:val="24"/>
        </w:rPr>
        <w:t>(b)</w:t>
      </w:r>
      <w:r>
        <w:rPr>
          <w:sz w:val="24"/>
          <w:szCs w:val="24"/>
        </w:rPr>
        <w:t xml:space="preserve"> Molvania is the State of her effective nationality. </w:t>
      </w:r>
    </w:p>
    <w:p w14:paraId="3055196A" w14:textId="7B711A26" w:rsidR="008C2177" w:rsidRPr="00D75C64" w:rsidRDefault="00000000" w:rsidP="00015CF2">
      <w:pPr>
        <w:pStyle w:val="Ttulo5"/>
        <w:numPr>
          <w:ilvl w:val="1"/>
          <w:numId w:val="34"/>
        </w:numPr>
        <w:spacing w:before="240" w:line="480" w:lineRule="auto"/>
        <w:jc w:val="both"/>
        <w:rPr>
          <w:b w:val="0"/>
          <w:bCs/>
          <w:i/>
          <w:iCs/>
          <w:sz w:val="24"/>
          <w:szCs w:val="24"/>
        </w:rPr>
      </w:pPr>
      <w:bookmarkStart w:id="35" w:name="_Toc155961577"/>
      <w:r w:rsidRPr="00D75C64">
        <w:rPr>
          <w:b w:val="0"/>
          <w:bCs/>
          <w:i/>
          <w:iCs/>
          <w:sz w:val="24"/>
          <w:szCs w:val="24"/>
        </w:rPr>
        <w:t>The genuine link principle is applicable to Ms. Shaw</w:t>
      </w:r>
      <w:r w:rsidR="00ED5692">
        <w:rPr>
          <w:b w:val="0"/>
          <w:bCs/>
          <w:i/>
          <w:iCs/>
          <w:sz w:val="24"/>
          <w:szCs w:val="24"/>
        </w:rPr>
        <w:t>’</w:t>
      </w:r>
      <w:r w:rsidR="0021754D">
        <w:rPr>
          <w:b w:val="0"/>
          <w:bCs/>
          <w:i/>
          <w:iCs/>
          <w:sz w:val="24"/>
          <w:szCs w:val="24"/>
        </w:rPr>
        <w:t>s</w:t>
      </w:r>
      <w:r w:rsidRPr="00D75C64">
        <w:rPr>
          <w:b w:val="0"/>
          <w:bCs/>
          <w:i/>
          <w:iCs/>
          <w:sz w:val="24"/>
          <w:szCs w:val="24"/>
        </w:rPr>
        <w:t xml:space="preserve"> case</w:t>
      </w:r>
      <w:bookmarkEnd w:id="35"/>
    </w:p>
    <w:p w14:paraId="4BBCC090" w14:textId="52AF8AF3" w:rsidR="008C2177" w:rsidRDefault="00000000" w:rsidP="00015CF2">
      <w:pPr>
        <w:widowControl/>
        <w:spacing w:before="240" w:line="480" w:lineRule="auto"/>
        <w:ind w:firstLine="720"/>
        <w:jc w:val="both"/>
        <w:rPr>
          <w:sz w:val="24"/>
          <w:szCs w:val="24"/>
        </w:rPr>
      </w:pPr>
      <w:r>
        <w:rPr>
          <w:sz w:val="24"/>
          <w:szCs w:val="24"/>
        </w:rPr>
        <w:t>The application of the genuine link principle is supported by State practice</w:t>
      </w:r>
      <w:r>
        <w:rPr>
          <w:sz w:val="24"/>
          <w:szCs w:val="24"/>
          <w:vertAlign w:val="superscript"/>
        </w:rPr>
        <w:footnoteReference w:id="136"/>
      </w:r>
      <w:r>
        <w:rPr>
          <w:sz w:val="24"/>
          <w:szCs w:val="24"/>
        </w:rPr>
        <w:t xml:space="preserve"> and international tribunals</w:t>
      </w:r>
      <w:r w:rsidR="00470AD1">
        <w:rPr>
          <w:sz w:val="24"/>
          <w:szCs w:val="24"/>
        </w:rPr>
        <w:t>.</w:t>
      </w:r>
      <w:r>
        <w:rPr>
          <w:sz w:val="24"/>
          <w:szCs w:val="24"/>
          <w:vertAlign w:val="superscript"/>
        </w:rPr>
        <w:footnoteReference w:id="137"/>
      </w:r>
      <w:r>
        <w:rPr>
          <w:sz w:val="24"/>
          <w:szCs w:val="24"/>
        </w:rPr>
        <w:t xml:space="preserve"> </w:t>
      </w:r>
      <w:r w:rsidR="00470AD1">
        <w:rPr>
          <w:sz w:val="24"/>
          <w:szCs w:val="24"/>
        </w:rPr>
        <w:t xml:space="preserve">In </w:t>
      </w:r>
      <w:r w:rsidR="00470AD1">
        <w:rPr>
          <w:i/>
          <w:sz w:val="24"/>
          <w:szCs w:val="24"/>
        </w:rPr>
        <w:t>Nottebohm</w:t>
      </w:r>
      <w:r w:rsidR="00470AD1">
        <w:rPr>
          <w:i/>
          <w:sz w:val="24"/>
          <w:szCs w:val="24"/>
        </w:rPr>
        <w:fldChar w:fldCharType="begin"/>
      </w:r>
      <w:r w:rsidR="00470AD1">
        <w:instrText xml:space="preserve"> TA \s "Nottebohm" </w:instrText>
      </w:r>
      <w:r w:rsidR="00470AD1">
        <w:rPr>
          <w:i/>
          <w:sz w:val="24"/>
          <w:szCs w:val="24"/>
        </w:rPr>
        <w:fldChar w:fldCharType="end"/>
      </w:r>
      <w:r w:rsidR="00470AD1">
        <w:rPr>
          <w:sz w:val="24"/>
          <w:szCs w:val="24"/>
        </w:rPr>
        <w:t>, this Court held that Guatemala was not obliged to recognize Mr. Nottebohm’s nationality from Liechtenstein, since he acquired it to obtain its protection with no intent to settle in that country.</w:t>
      </w:r>
      <w:r w:rsidR="00470AD1">
        <w:rPr>
          <w:sz w:val="24"/>
          <w:szCs w:val="24"/>
          <w:vertAlign w:val="superscript"/>
        </w:rPr>
        <w:footnoteReference w:id="138"/>
      </w:r>
      <w:r w:rsidR="00470AD1">
        <w:rPr>
          <w:sz w:val="24"/>
          <w:szCs w:val="24"/>
        </w:rPr>
        <w:t xml:space="preserve"> </w:t>
      </w:r>
      <w:r w:rsidR="00470AD1">
        <w:rPr>
          <w:sz w:val="24"/>
          <w:szCs w:val="24"/>
        </w:rPr>
        <w:t xml:space="preserve">Moreover, this principle is </w:t>
      </w:r>
      <w:r>
        <w:rPr>
          <w:sz w:val="24"/>
          <w:szCs w:val="24"/>
        </w:rPr>
        <w:t xml:space="preserve">particularly </w:t>
      </w:r>
      <w:r w:rsidR="00470AD1">
        <w:rPr>
          <w:sz w:val="24"/>
          <w:szCs w:val="24"/>
        </w:rPr>
        <w:t xml:space="preserve">applicable </w:t>
      </w:r>
      <w:r>
        <w:rPr>
          <w:sz w:val="24"/>
          <w:szCs w:val="24"/>
        </w:rPr>
        <w:t>in cases of individuals with dual nationality to ascertain their effective nationality.</w:t>
      </w:r>
      <w:r>
        <w:rPr>
          <w:sz w:val="24"/>
          <w:szCs w:val="24"/>
          <w:vertAlign w:val="superscript"/>
        </w:rPr>
        <w:footnoteReference w:id="139"/>
      </w:r>
      <w:r>
        <w:rPr>
          <w:sz w:val="24"/>
          <w:szCs w:val="24"/>
        </w:rPr>
        <w:t xml:space="preserve"> </w:t>
      </w:r>
    </w:p>
    <w:p w14:paraId="233431FA" w14:textId="07A98CA1" w:rsidR="008C2177" w:rsidRDefault="00000000" w:rsidP="00015CF2">
      <w:pPr>
        <w:widowControl/>
        <w:spacing w:before="240" w:line="480" w:lineRule="auto"/>
        <w:ind w:firstLine="720"/>
        <w:jc w:val="both"/>
        <w:rPr>
          <w:sz w:val="24"/>
          <w:szCs w:val="24"/>
        </w:rPr>
      </w:pPr>
      <w:r>
        <w:rPr>
          <w:sz w:val="24"/>
          <w:szCs w:val="24"/>
        </w:rPr>
        <w:lastRenderedPageBreak/>
        <w:t>Ms. Shaw is a dual national from Molvania</w:t>
      </w:r>
      <w:r>
        <w:rPr>
          <w:sz w:val="24"/>
          <w:szCs w:val="24"/>
          <w:vertAlign w:val="superscript"/>
        </w:rPr>
        <w:footnoteReference w:id="140"/>
      </w:r>
      <w:r>
        <w:rPr>
          <w:sz w:val="24"/>
          <w:szCs w:val="24"/>
        </w:rPr>
        <w:t xml:space="preserve"> and Remisia.</w:t>
      </w:r>
      <w:r>
        <w:rPr>
          <w:sz w:val="24"/>
          <w:szCs w:val="24"/>
          <w:vertAlign w:val="superscript"/>
        </w:rPr>
        <w:footnoteReference w:id="141"/>
      </w:r>
      <w:r>
        <w:rPr>
          <w:sz w:val="24"/>
          <w:szCs w:val="24"/>
        </w:rPr>
        <w:t xml:space="preserve"> The fact that she applied to the NIA only a few months after Molvania initiated criminal investigations against her in 2014,</w:t>
      </w:r>
      <w:r>
        <w:rPr>
          <w:sz w:val="24"/>
          <w:szCs w:val="24"/>
          <w:vertAlign w:val="superscript"/>
        </w:rPr>
        <w:footnoteReference w:id="142"/>
      </w:r>
      <w:r>
        <w:rPr>
          <w:sz w:val="24"/>
          <w:szCs w:val="24"/>
        </w:rPr>
        <w:t xml:space="preserve"> indicates that she probably acquired Remisia’s nationality in order to obtain its protection. </w:t>
      </w:r>
      <w:r w:rsidR="00157B25">
        <w:rPr>
          <w:sz w:val="24"/>
          <w:szCs w:val="24"/>
        </w:rPr>
        <w:t xml:space="preserve">In addition, </w:t>
      </w:r>
      <w:r>
        <w:rPr>
          <w:sz w:val="24"/>
          <w:szCs w:val="24"/>
        </w:rPr>
        <w:t>she has not entered Remisia since 2006,</w:t>
      </w:r>
      <w:r>
        <w:rPr>
          <w:sz w:val="24"/>
          <w:szCs w:val="24"/>
          <w:vertAlign w:val="superscript"/>
        </w:rPr>
        <w:footnoteReference w:id="143"/>
      </w:r>
      <w:r>
        <w:rPr>
          <w:sz w:val="24"/>
          <w:szCs w:val="24"/>
        </w:rPr>
        <w:t xml:space="preserve"> meaning that she had no intention of settling in this country either. </w:t>
      </w:r>
    </w:p>
    <w:p w14:paraId="246DF93F" w14:textId="7407D0D9" w:rsidR="008C2177" w:rsidRDefault="00000000" w:rsidP="00015CF2">
      <w:pPr>
        <w:widowControl/>
        <w:spacing w:before="240" w:line="480" w:lineRule="auto"/>
        <w:ind w:firstLine="720"/>
        <w:jc w:val="both"/>
        <w:rPr>
          <w:sz w:val="24"/>
          <w:szCs w:val="24"/>
        </w:rPr>
      </w:pPr>
      <w:r>
        <w:rPr>
          <w:sz w:val="24"/>
          <w:szCs w:val="24"/>
        </w:rPr>
        <w:t>Thus, the genuine link principle must be applied to this case in order to ascertain her effective nationality</w:t>
      </w:r>
      <w:r w:rsidR="00B748AF">
        <w:rPr>
          <w:sz w:val="24"/>
          <w:szCs w:val="24"/>
        </w:rPr>
        <w:t xml:space="preserve"> which shall be recognized by </w:t>
      </w:r>
      <w:r w:rsidR="00ED5692">
        <w:rPr>
          <w:sz w:val="24"/>
          <w:szCs w:val="24"/>
        </w:rPr>
        <w:t>Antrano</w:t>
      </w:r>
      <w:r>
        <w:rPr>
          <w:sz w:val="24"/>
          <w:szCs w:val="24"/>
        </w:rPr>
        <w:t xml:space="preserve">. </w:t>
      </w:r>
    </w:p>
    <w:p w14:paraId="29FFACEC" w14:textId="24FAF9C4" w:rsidR="008C2177" w:rsidRPr="00D75C64" w:rsidRDefault="00000000" w:rsidP="00015CF2">
      <w:pPr>
        <w:pStyle w:val="Ttulo5"/>
        <w:numPr>
          <w:ilvl w:val="1"/>
          <w:numId w:val="34"/>
        </w:numPr>
        <w:spacing w:before="240" w:line="480" w:lineRule="auto"/>
        <w:jc w:val="both"/>
        <w:rPr>
          <w:b w:val="0"/>
          <w:bCs/>
          <w:i/>
          <w:iCs/>
          <w:sz w:val="24"/>
          <w:szCs w:val="24"/>
        </w:rPr>
      </w:pPr>
      <w:bookmarkStart w:id="36" w:name="_Toc155961578"/>
      <w:r w:rsidRPr="00D75C64">
        <w:rPr>
          <w:b w:val="0"/>
          <w:bCs/>
          <w:i/>
          <w:iCs/>
          <w:sz w:val="24"/>
          <w:szCs w:val="24"/>
        </w:rPr>
        <w:t>Molvania is the State of Ms. Shaw</w:t>
      </w:r>
      <w:r w:rsidR="0083033F">
        <w:rPr>
          <w:b w:val="0"/>
          <w:bCs/>
          <w:i/>
          <w:iCs/>
          <w:sz w:val="24"/>
          <w:szCs w:val="24"/>
        </w:rPr>
        <w:t>’s</w:t>
      </w:r>
      <w:r w:rsidRPr="00D75C64">
        <w:rPr>
          <w:b w:val="0"/>
          <w:bCs/>
          <w:i/>
          <w:iCs/>
          <w:sz w:val="24"/>
          <w:szCs w:val="24"/>
        </w:rPr>
        <w:t xml:space="preserve"> effective nationality</w:t>
      </w:r>
      <w:bookmarkEnd w:id="36"/>
      <w:r w:rsidRPr="00D75C64">
        <w:rPr>
          <w:b w:val="0"/>
          <w:bCs/>
          <w:i/>
          <w:iCs/>
          <w:sz w:val="24"/>
          <w:szCs w:val="24"/>
        </w:rPr>
        <w:t xml:space="preserve"> </w:t>
      </w:r>
    </w:p>
    <w:p w14:paraId="509994B4" w14:textId="086E7C0C" w:rsidR="008C2177" w:rsidRDefault="00000000" w:rsidP="00015CF2">
      <w:pPr>
        <w:widowControl/>
        <w:spacing w:before="240" w:after="240" w:line="480" w:lineRule="auto"/>
        <w:ind w:firstLine="720"/>
        <w:jc w:val="both"/>
        <w:rPr>
          <w:sz w:val="24"/>
          <w:szCs w:val="24"/>
        </w:rPr>
      </w:pPr>
      <w:r>
        <w:rPr>
          <w:sz w:val="24"/>
          <w:szCs w:val="24"/>
        </w:rPr>
        <w:t xml:space="preserve"> Since Ms. Shaw has dual nationality, Antrano shall recognize only the nationality of the State to which she is more closely connected,</w:t>
      </w:r>
      <w:r>
        <w:rPr>
          <w:sz w:val="24"/>
          <w:szCs w:val="24"/>
          <w:vertAlign w:val="superscript"/>
        </w:rPr>
        <w:footnoteReference w:id="144"/>
      </w:r>
      <w:r>
        <w:rPr>
          <w:sz w:val="24"/>
          <w:szCs w:val="24"/>
        </w:rPr>
        <w:t xml:space="preserve"> resolving any collision of rights between Molvania and Remisia.</w:t>
      </w:r>
      <w:r>
        <w:rPr>
          <w:sz w:val="24"/>
          <w:szCs w:val="24"/>
          <w:vertAlign w:val="superscript"/>
        </w:rPr>
        <w:footnoteReference w:id="145"/>
      </w:r>
      <w:r>
        <w:rPr>
          <w:sz w:val="24"/>
          <w:szCs w:val="24"/>
          <w:vertAlign w:val="superscript"/>
        </w:rPr>
        <w:t xml:space="preserve"> </w:t>
      </w:r>
      <w:r>
        <w:rPr>
          <w:sz w:val="24"/>
          <w:szCs w:val="24"/>
        </w:rPr>
        <w:t>Factors such as the amount of time spent in each State, family ties</w:t>
      </w:r>
      <w:r w:rsidR="00ED5692">
        <w:rPr>
          <w:sz w:val="24"/>
          <w:szCs w:val="24"/>
        </w:rPr>
        <w:t>,</w:t>
      </w:r>
      <w:r>
        <w:rPr>
          <w:sz w:val="24"/>
          <w:szCs w:val="24"/>
        </w:rPr>
        <w:t xml:space="preserve"> and the center of financial interests determines her effective nationality.</w:t>
      </w:r>
      <w:r>
        <w:rPr>
          <w:sz w:val="24"/>
          <w:szCs w:val="24"/>
          <w:vertAlign w:val="superscript"/>
        </w:rPr>
        <w:footnoteReference w:id="146"/>
      </w:r>
      <w:r>
        <w:rPr>
          <w:sz w:val="24"/>
          <w:szCs w:val="24"/>
        </w:rPr>
        <w:t xml:space="preserve">  </w:t>
      </w:r>
    </w:p>
    <w:p w14:paraId="2EEA955C" w14:textId="632107AD" w:rsidR="008C2177" w:rsidRDefault="00000000" w:rsidP="00015CF2">
      <w:pPr>
        <w:widowControl/>
        <w:spacing w:before="240" w:after="240" w:line="480" w:lineRule="auto"/>
        <w:ind w:firstLine="720"/>
        <w:jc w:val="both"/>
        <w:rPr>
          <w:sz w:val="24"/>
          <w:szCs w:val="24"/>
        </w:rPr>
      </w:pPr>
      <w:r>
        <w:rPr>
          <w:sz w:val="24"/>
          <w:szCs w:val="24"/>
        </w:rPr>
        <w:lastRenderedPageBreak/>
        <w:t>Both Molvania and Remisia were willing to exercise their rights of consular assistance to Ms. Shaw.</w:t>
      </w:r>
      <w:r>
        <w:rPr>
          <w:sz w:val="24"/>
          <w:szCs w:val="24"/>
          <w:vertAlign w:val="superscript"/>
        </w:rPr>
        <w:footnoteReference w:id="147"/>
      </w:r>
      <w:r>
        <w:rPr>
          <w:sz w:val="24"/>
          <w:szCs w:val="24"/>
        </w:rPr>
        <w:t xml:space="preserve"> In this regard, Ms. Shaw lived in Molvania from her birth in 1970 until 2012,</w:t>
      </w:r>
      <w:r>
        <w:rPr>
          <w:sz w:val="24"/>
          <w:szCs w:val="24"/>
          <w:vertAlign w:val="superscript"/>
        </w:rPr>
        <w:footnoteReference w:id="148"/>
      </w:r>
      <w:r>
        <w:rPr>
          <w:sz w:val="24"/>
          <w:szCs w:val="24"/>
        </w:rPr>
        <w:t xml:space="preserve"> where she also had all her family ties.</w:t>
      </w:r>
      <w:r>
        <w:rPr>
          <w:sz w:val="24"/>
          <w:szCs w:val="24"/>
          <w:vertAlign w:val="superscript"/>
        </w:rPr>
        <w:footnoteReference w:id="149"/>
      </w:r>
      <w:r>
        <w:rPr>
          <w:sz w:val="24"/>
          <w:szCs w:val="24"/>
        </w:rPr>
        <w:t xml:space="preserve"> The center of her financial interests were also in Molvania as her family</w:t>
      </w:r>
      <w:r w:rsidR="00ED5692">
        <w:rPr>
          <w:sz w:val="24"/>
          <w:szCs w:val="24"/>
        </w:rPr>
        <w:t>’</w:t>
      </w:r>
      <w:r>
        <w:rPr>
          <w:sz w:val="24"/>
          <w:szCs w:val="24"/>
        </w:rPr>
        <w:t>s company ShawCorp, and its subordinate Lithos, which she used to head, were also incorporated in that State.</w:t>
      </w:r>
      <w:r>
        <w:rPr>
          <w:sz w:val="24"/>
          <w:szCs w:val="24"/>
          <w:vertAlign w:val="superscript"/>
        </w:rPr>
        <w:footnoteReference w:id="150"/>
      </w:r>
      <w:r>
        <w:rPr>
          <w:sz w:val="24"/>
          <w:szCs w:val="24"/>
        </w:rPr>
        <w:t xml:space="preserve"> </w:t>
      </w:r>
      <w:r w:rsidR="00B748AF">
        <w:rPr>
          <w:sz w:val="24"/>
          <w:szCs w:val="24"/>
        </w:rPr>
        <w:t>For this reasons</w:t>
      </w:r>
      <w:r>
        <w:rPr>
          <w:sz w:val="24"/>
          <w:szCs w:val="24"/>
        </w:rPr>
        <w:t xml:space="preserve">, she was more closely connected to Molvania than to Remisia </w:t>
      </w:r>
      <w:r w:rsidR="00BD5D23" w:rsidRPr="00BD5D23">
        <w:rPr>
          <w:sz w:val="24"/>
          <w:szCs w:val="24"/>
        </w:rPr>
        <w:t xml:space="preserve">by virtue of the </w:t>
      </w:r>
      <w:r w:rsidR="00ED5692">
        <w:rPr>
          <w:sz w:val="24"/>
          <w:szCs w:val="24"/>
        </w:rPr>
        <w:t>€</w:t>
      </w:r>
      <w:r w:rsidR="00BD5D23" w:rsidRPr="00BD5D23">
        <w:rPr>
          <w:sz w:val="24"/>
          <w:szCs w:val="24"/>
        </w:rPr>
        <w:t>500,000 investment with which she bought Remisia</w:t>
      </w:r>
      <w:r w:rsidR="00ED5692">
        <w:rPr>
          <w:sz w:val="24"/>
          <w:szCs w:val="24"/>
        </w:rPr>
        <w:t>’</w:t>
      </w:r>
      <w:r w:rsidR="00BD5D23" w:rsidRPr="00BD5D23">
        <w:rPr>
          <w:sz w:val="24"/>
          <w:szCs w:val="24"/>
        </w:rPr>
        <w:t>s nationality</w:t>
      </w:r>
      <w:r>
        <w:rPr>
          <w:sz w:val="24"/>
          <w:szCs w:val="24"/>
        </w:rPr>
        <w:t>.</w:t>
      </w:r>
      <w:r>
        <w:rPr>
          <w:sz w:val="24"/>
          <w:szCs w:val="24"/>
          <w:vertAlign w:val="superscript"/>
        </w:rPr>
        <w:footnoteReference w:id="151"/>
      </w:r>
      <w:r>
        <w:rPr>
          <w:sz w:val="24"/>
          <w:szCs w:val="24"/>
        </w:rPr>
        <w:t xml:space="preserve">  </w:t>
      </w:r>
    </w:p>
    <w:p w14:paraId="7870A756" w14:textId="211EECCE" w:rsidR="008C2177" w:rsidRDefault="00000000" w:rsidP="00015CF2">
      <w:pPr>
        <w:widowControl/>
        <w:spacing w:before="240" w:after="240" w:line="480" w:lineRule="auto"/>
        <w:ind w:firstLine="720"/>
        <w:jc w:val="both"/>
        <w:rPr>
          <w:sz w:val="24"/>
          <w:szCs w:val="24"/>
        </w:rPr>
      </w:pPr>
      <w:r>
        <w:rPr>
          <w:sz w:val="24"/>
          <w:szCs w:val="24"/>
        </w:rPr>
        <w:t xml:space="preserve">Therefore, Antrano shall </w:t>
      </w:r>
      <w:r w:rsidR="00F505CC">
        <w:rPr>
          <w:sz w:val="24"/>
          <w:szCs w:val="24"/>
        </w:rPr>
        <w:t xml:space="preserve">only </w:t>
      </w:r>
      <w:r>
        <w:rPr>
          <w:sz w:val="24"/>
          <w:szCs w:val="24"/>
        </w:rPr>
        <w:t>recognize Ms. Shaw</w:t>
      </w:r>
      <w:r w:rsidR="00F505CC">
        <w:rPr>
          <w:sz w:val="24"/>
          <w:szCs w:val="24"/>
        </w:rPr>
        <w:t>’s</w:t>
      </w:r>
      <w:r>
        <w:rPr>
          <w:sz w:val="24"/>
          <w:szCs w:val="24"/>
        </w:rPr>
        <w:t xml:space="preserve"> Molvanian citizenship, </w:t>
      </w:r>
      <w:r w:rsidR="00F505CC">
        <w:rPr>
          <w:sz w:val="24"/>
          <w:szCs w:val="24"/>
        </w:rPr>
        <w:t xml:space="preserve">as Molvania is </w:t>
      </w:r>
      <w:r>
        <w:rPr>
          <w:sz w:val="24"/>
          <w:szCs w:val="24"/>
        </w:rPr>
        <w:t xml:space="preserve">the State of her effective nationality. </w:t>
      </w:r>
    </w:p>
    <w:p w14:paraId="14D081EF" w14:textId="25BDB9AC" w:rsidR="008C2177" w:rsidRPr="00290DF4" w:rsidRDefault="00000000" w:rsidP="00015CF2">
      <w:pPr>
        <w:pStyle w:val="Ttulo3"/>
        <w:numPr>
          <w:ilvl w:val="0"/>
          <w:numId w:val="33"/>
        </w:numPr>
        <w:spacing w:before="240" w:line="480" w:lineRule="auto"/>
        <w:jc w:val="both"/>
        <w:rPr>
          <w:sz w:val="24"/>
          <w:szCs w:val="24"/>
        </w:rPr>
      </w:pPr>
      <w:bookmarkStart w:id="37" w:name="_Toc155961579"/>
      <w:r>
        <w:rPr>
          <w:sz w:val="24"/>
          <w:szCs w:val="24"/>
        </w:rPr>
        <w:t>Antrano complied with its obligations under Article 36 of the VCCR</w:t>
      </w:r>
      <w:bookmarkEnd w:id="37"/>
      <w:r w:rsidR="000B5DB7">
        <w:rPr>
          <w:sz w:val="24"/>
          <w:szCs w:val="24"/>
        </w:rPr>
        <w:fldChar w:fldCharType="begin"/>
      </w:r>
      <w:r w:rsidR="000B5DB7">
        <w:rPr>
          <w:sz w:val="24"/>
          <w:szCs w:val="24"/>
        </w:rPr>
        <w:instrText xml:space="preserve"> TA \s "VCCR" </w:instrText>
      </w:r>
      <w:r w:rsidR="000B5DB7">
        <w:rPr>
          <w:sz w:val="24"/>
          <w:szCs w:val="24"/>
        </w:rPr>
        <w:fldChar w:fldCharType="end"/>
      </w:r>
    </w:p>
    <w:p w14:paraId="1E1572B0" w14:textId="4FED8F75" w:rsidR="008C2177" w:rsidRDefault="00000000" w:rsidP="00015CF2">
      <w:pPr>
        <w:widowControl/>
        <w:spacing w:before="240" w:after="240" w:line="480" w:lineRule="auto"/>
        <w:ind w:firstLine="720"/>
        <w:jc w:val="both"/>
        <w:rPr>
          <w:sz w:val="24"/>
          <w:szCs w:val="24"/>
        </w:rPr>
      </w:pPr>
      <w:r>
        <w:rPr>
          <w:sz w:val="24"/>
          <w:szCs w:val="24"/>
        </w:rPr>
        <w:t xml:space="preserve">As </w:t>
      </w:r>
      <w:r>
        <w:rPr>
          <w:b/>
          <w:sz w:val="24"/>
          <w:szCs w:val="24"/>
        </w:rPr>
        <w:t xml:space="preserve">(1) </w:t>
      </w:r>
      <w:r>
        <w:rPr>
          <w:sz w:val="24"/>
          <w:szCs w:val="24"/>
        </w:rPr>
        <w:t xml:space="preserve">Remisia does not have the right to bring consular assistance to Ms. Shaw, </w:t>
      </w:r>
      <w:r>
        <w:rPr>
          <w:b/>
          <w:sz w:val="24"/>
          <w:szCs w:val="24"/>
        </w:rPr>
        <w:t>(2)</w:t>
      </w:r>
      <w:r>
        <w:rPr>
          <w:sz w:val="24"/>
          <w:szCs w:val="24"/>
        </w:rPr>
        <w:t xml:space="preserve"> Antrano guaranteed her rights under Article 36 of the VCCR</w:t>
      </w:r>
      <w:r w:rsidR="000B5DB7">
        <w:rPr>
          <w:sz w:val="24"/>
          <w:szCs w:val="24"/>
        </w:rPr>
        <w:fldChar w:fldCharType="begin"/>
      </w:r>
      <w:r w:rsidR="000B5DB7">
        <w:rPr>
          <w:sz w:val="24"/>
          <w:szCs w:val="24"/>
        </w:rPr>
        <w:instrText xml:space="preserve"> TA \s "VCCR" </w:instrText>
      </w:r>
      <w:r w:rsidR="000B5DB7">
        <w:rPr>
          <w:sz w:val="24"/>
          <w:szCs w:val="24"/>
        </w:rPr>
        <w:fldChar w:fldCharType="end"/>
      </w:r>
      <w:r>
        <w:rPr>
          <w:sz w:val="24"/>
          <w:szCs w:val="24"/>
        </w:rPr>
        <w:t xml:space="preserve"> through the Molvanian consul. Further, </w:t>
      </w:r>
      <w:r>
        <w:rPr>
          <w:b/>
          <w:sz w:val="24"/>
          <w:szCs w:val="24"/>
        </w:rPr>
        <w:t xml:space="preserve">(3) </w:t>
      </w:r>
      <w:r>
        <w:rPr>
          <w:sz w:val="24"/>
          <w:szCs w:val="24"/>
        </w:rPr>
        <w:t xml:space="preserve">Antrano’s law on non-recognition of purchased citizenship does not nullify the purpose of her rights pursuant to Article 36(2) of the treaty. </w:t>
      </w:r>
    </w:p>
    <w:p w14:paraId="37DD7AA4" w14:textId="77777777" w:rsidR="008C2177" w:rsidRPr="00290DF4" w:rsidRDefault="00000000" w:rsidP="00015CF2">
      <w:pPr>
        <w:pStyle w:val="Ttulo4"/>
        <w:numPr>
          <w:ilvl w:val="0"/>
          <w:numId w:val="35"/>
        </w:numPr>
        <w:spacing w:line="480" w:lineRule="auto"/>
        <w:jc w:val="both"/>
        <w:rPr>
          <w:b w:val="0"/>
          <w:bCs/>
          <w:u w:val="single"/>
        </w:rPr>
      </w:pPr>
      <w:bookmarkStart w:id="38" w:name="_Toc155961580"/>
      <w:r w:rsidRPr="00290DF4">
        <w:rPr>
          <w:b w:val="0"/>
          <w:bCs/>
          <w:u w:val="single"/>
        </w:rPr>
        <w:lastRenderedPageBreak/>
        <w:t>Remisia does not have the right to bring consular assistance to Ms. Shaw</w:t>
      </w:r>
      <w:bookmarkEnd w:id="38"/>
    </w:p>
    <w:p w14:paraId="46B6C1F7" w14:textId="60D56F82" w:rsidR="008C2177" w:rsidRDefault="00000000" w:rsidP="00015CF2">
      <w:pPr>
        <w:widowControl/>
        <w:spacing w:before="240" w:after="240" w:line="480" w:lineRule="auto"/>
        <w:ind w:firstLine="720"/>
        <w:jc w:val="both"/>
        <w:rPr>
          <w:sz w:val="24"/>
          <w:szCs w:val="24"/>
        </w:rPr>
      </w:pPr>
      <w:r>
        <w:rPr>
          <w:sz w:val="24"/>
          <w:szCs w:val="24"/>
        </w:rPr>
        <w:t>The State entitled to provide consular assistance to a person detained abroad is his State of nationality.</w:t>
      </w:r>
      <w:r>
        <w:rPr>
          <w:sz w:val="24"/>
          <w:szCs w:val="24"/>
          <w:vertAlign w:val="superscript"/>
        </w:rPr>
        <w:footnoteReference w:id="152"/>
      </w:r>
      <w:r>
        <w:rPr>
          <w:sz w:val="24"/>
          <w:szCs w:val="24"/>
        </w:rPr>
        <w:t xml:space="preserve"> For this reason, the receiving State shall inquire into the nationality of the detained person</w:t>
      </w:r>
      <w:r>
        <w:rPr>
          <w:sz w:val="24"/>
          <w:szCs w:val="24"/>
          <w:vertAlign w:val="superscript"/>
        </w:rPr>
        <w:footnoteReference w:id="153"/>
      </w:r>
      <w:r>
        <w:rPr>
          <w:sz w:val="24"/>
          <w:szCs w:val="24"/>
        </w:rPr>
        <w:t xml:space="preserve"> </w:t>
      </w:r>
      <w:r w:rsidR="00F505CC">
        <w:rPr>
          <w:sz w:val="24"/>
          <w:szCs w:val="24"/>
        </w:rPr>
        <w:t xml:space="preserve">to be </w:t>
      </w:r>
      <w:r>
        <w:rPr>
          <w:sz w:val="24"/>
          <w:szCs w:val="24"/>
        </w:rPr>
        <w:t xml:space="preserve">able to comply with </w:t>
      </w:r>
      <w:r w:rsidR="00F505CC">
        <w:rPr>
          <w:sz w:val="24"/>
          <w:szCs w:val="24"/>
        </w:rPr>
        <w:t xml:space="preserve">its </w:t>
      </w:r>
      <w:r>
        <w:rPr>
          <w:sz w:val="24"/>
          <w:szCs w:val="24"/>
        </w:rPr>
        <w:t>obligations under the VCCR</w:t>
      </w:r>
      <w:r w:rsidR="000B5DB7">
        <w:rPr>
          <w:sz w:val="24"/>
          <w:szCs w:val="24"/>
        </w:rPr>
        <w:fldChar w:fldCharType="begin"/>
      </w:r>
      <w:r w:rsidR="000B5DB7">
        <w:rPr>
          <w:sz w:val="24"/>
          <w:szCs w:val="24"/>
        </w:rPr>
        <w:instrText xml:space="preserve"> TA \s "VCCR" </w:instrText>
      </w:r>
      <w:r w:rsidR="000B5DB7">
        <w:rPr>
          <w:sz w:val="24"/>
          <w:szCs w:val="24"/>
        </w:rPr>
        <w:fldChar w:fldCharType="end"/>
      </w:r>
      <w:r>
        <w:rPr>
          <w:sz w:val="24"/>
          <w:szCs w:val="24"/>
        </w:rPr>
        <w:t>.</w:t>
      </w:r>
      <w:r>
        <w:rPr>
          <w:sz w:val="24"/>
          <w:szCs w:val="24"/>
          <w:vertAlign w:val="superscript"/>
        </w:rPr>
        <w:footnoteReference w:id="154"/>
      </w:r>
      <w:r>
        <w:rPr>
          <w:sz w:val="24"/>
          <w:szCs w:val="24"/>
        </w:rPr>
        <w:t xml:space="preserve"> Antrano was under no obligation to recognize Ms. Shaw</w:t>
      </w:r>
      <w:r w:rsidR="00ED5692">
        <w:rPr>
          <w:sz w:val="24"/>
          <w:szCs w:val="24"/>
        </w:rPr>
        <w:t>’</w:t>
      </w:r>
      <w:r>
        <w:rPr>
          <w:sz w:val="24"/>
          <w:szCs w:val="24"/>
        </w:rPr>
        <w:t>s Remisian citizenship as it was not the State of her effective nationality.</w:t>
      </w:r>
      <w:r>
        <w:rPr>
          <w:sz w:val="24"/>
          <w:szCs w:val="24"/>
          <w:vertAlign w:val="superscript"/>
        </w:rPr>
        <w:footnoteReference w:id="155"/>
      </w:r>
      <w:r w:rsidR="00ED5692">
        <w:rPr>
          <w:sz w:val="24"/>
          <w:szCs w:val="24"/>
        </w:rPr>
        <w:t xml:space="preserve"> </w:t>
      </w:r>
      <w:r>
        <w:rPr>
          <w:sz w:val="24"/>
          <w:szCs w:val="24"/>
        </w:rPr>
        <w:t>Accordingly, Antrano established that Ms. Shaw was a Molvanian national when she was detained.</w:t>
      </w:r>
      <w:r>
        <w:rPr>
          <w:sz w:val="24"/>
          <w:szCs w:val="24"/>
          <w:vertAlign w:val="superscript"/>
        </w:rPr>
        <w:footnoteReference w:id="156"/>
      </w:r>
      <w:r>
        <w:rPr>
          <w:sz w:val="24"/>
          <w:szCs w:val="24"/>
        </w:rPr>
        <w:t xml:space="preserve"> </w:t>
      </w:r>
    </w:p>
    <w:p w14:paraId="6C3BF925" w14:textId="13FDEEC7" w:rsidR="008C2177" w:rsidRDefault="00000000" w:rsidP="00015CF2">
      <w:pPr>
        <w:widowControl/>
        <w:spacing w:before="240" w:after="240" w:line="480" w:lineRule="auto"/>
        <w:ind w:firstLine="720"/>
        <w:jc w:val="both"/>
        <w:rPr>
          <w:sz w:val="24"/>
          <w:szCs w:val="24"/>
        </w:rPr>
      </w:pPr>
      <w:r>
        <w:rPr>
          <w:sz w:val="24"/>
          <w:szCs w:val="24"/>
        </w:rPr>
        <w:t>Therefore, Antrano was obliged to grant Molvanian and not Remisian consular assistance to Ms. Shaw</w:t>
      </w:r>
      <w:r w:rsidR="00152651">
        <w:rPr>
          <w:sz w:val="24"/>
          <w:szCs w:val="24"/>
        </w:rPr>
        <w:t xml:space="preserve">. </w:t>
      </w:r>
    </w:p>
    <w:p w14:paraId="53D1E72B" w14:textId="3D5CB9B2" w:rsidR="008C2177" w:rsidRPr="00D75C64" w:rsidRDefault="00000000" w:rsidP="00015CF2">
      <w:pPr>
        <w:pStyle w:val="Ttulo4"/>
        <w:numPr>
          <w:ilvl w:val="0"/>
          <w:numId w:val="35"/>
        </w:numPr>
        <w:spacing w:line="480" w:lineRule="auto"/>
        <w:jc w:val="both"/>
        <w:rPr>
          <w:b w:val="0"/>
          <w:bCs/>
          <w:u w:val="single"/>
        </w:rPr>
      </w:pPr>
      <w:bookmarkStart w:id="39" w:name="_Toc155961581"/>
      <w:r w:rsidRPr="00D75C64">
        <w:rPr>
          <w:b w:val="0"/>
          <w:bCs/>
          <w:u w:val="single"/>
        </w:rPr>
        <w:t>Antrano guaranteed Ms. Shaw’s rights under the VCCR</w:t>
      </w:r>
      <w:bookmarkEnd w:id="39"/>
      <w:r w:rsidR="000B5DB7">
        <w:rPr>
          <w:b w:val="0"/>
          <w:bCs/>
          <w:u w:val="single"/>
        </w:rPr>
        <w:fldChar w:fldCharType="begin"/>
      </w:r>
      <w:r w:rsidR="000B5DB7">
        <w:rPr>
          <w:b w:val="0"/>
          <w:bCs/>
          <w:u w:val="single"/>
        </w:rPr>
        <w:instrText xml:space="preserve"> TA \s "VCCR" </w:instrText>
      </w:r>
      <w:r w:rsidR="000B5DB7">
        <w:rPr>
          <w:b w:val="0"/>
          <w:bCs/>
          <w:u w:val="single"/>
        </w:rPr>
        <w:fldChar w:fldCharType="end"/>
      </w:r>
    </w:p>
    <w:p w14:paraId="369E37A9" w14:textId="2CA2ED58" w:rsidR="008C2177" w:rsidRDefault="00000000" w:rsidP="00015CF2">
      <w:pPr>
        <w:widowControl/>
        <w:spacing w:before="240" w:after="240" w:line="480" w:lineRule="auto"/>
        <w:ind w:firstLine="720"/>
        <w:jc w:val="both"/>
        <w:rPr>
          <w:sz w:val="24"/>
          <w:szCs w:val="24"/>
        </w:rPr>
      </w:pPr>
      <w:r>
        <w:rPr>
          <w:sz w:val="24"/>
          <w:szCs w:val="24"/>
        </w:rPr>
        <w:t>Under Article 36(1)(b) of the VCCR</w:t>
      </w:r>
      <w:r w:rsidR="000B5DB7">
        <w:rPr>
          <w:sz w:val="24"/>
          <w:szCs w:val="24"/>
        </w:rPr>
        <w:fldChar w:fldCharType="begin"/>
      </w:r>
      <w:r w:rsidR="000B5DB7">
        <w:rPr>
          <w:sz w:val="24"/>
          <w:szCs w:val="24"/>
        </w:rPr>
        <w:instrText xml:space="preserve"> TA \s "VCCR" </w:instrText>
      </w:r>
      <w:r w:rsidR="000B5DB7">
        <w:rPr>
          <w:sz w:val="24"/>
          <w:szCs w:val="24"/>
        </w:rPr>
        <w:fldChar w:fldCharType="end"/>
      </w:r>
      <w:r>
        <w:rPr>
          <w:sz w:val="24"/>
          <w:szCs w:val="24"/>
        </w:rPr>
        <w:t>,</w:t>
      </w:r>
      <w:r w:rsidR="000E212C">
        <w:rPr>
          <w:sz w:val="24"/>
          <w:szCs w:val="24"/>
        </w:rPr>
        <w:t xml:space="preserve"> </w:t>
      </w:r>
      <w:r>
        <w:rPr>
          <w:sz w:val="24"/>
          <w:szCs w:val="24"/>
        </w:rPr>
        <w:t>the</w:t>
      </w:r>
      <w:r w:rsidR="00F505CC">
        <w:rPr>
          <w:sz w:val="24"/>
          <w:szCs w:val="24"/>
        </w:rPr>
        <w:t xml:space="preserve"> detained</w:t>
      </w:r>
      <w:r>
        <w:rPr>
          <w:sz w:val="24"/>
          <w:szCs w:val="24"/>
        </w:rPr>
        <w:t xml:space="preserve"> foreign national shall be informed of his right to consular assistance.</w:t>
      </w:r>
      <w:r>
        <w:rPr>
          <w:sz w:val="24"/>
          <w:szCs w:val="24"/>
          <w:vertAlign w:val="superscript"/>
        </w:rPr>
        <w:footnoteReference w:id="157"/>
      </w:r>
      <w:r>
        <w:rPr>
          <w:sz w:val="24"/>
          <w:szCs w:val="24"/>
        </w:rPr>
        <w:t xml:space="preserve"> Then, if </w:t>
      </w:r>
      <w:r w:rsidR="00BD5D23">
        <w:rPr>
          <w:sz w:val="24"/>
          <w:szCs w:val="24"/>
        </w:rPr>
        <w:t xml:space="preserve">he </w:t>
      </w:r>
      <w:r>
        <w:rPr>
          <w:sz w:val="24"/>
          <w:szCs w:val="24"/>
        </w:rPr>
        <w:t xml:space="preserve">so request, the receiving State shall </w:t>
      </w:r>
      <w:r w:rsidR="00CA7366">
        <w:rPr>
          <w:sz w:val="24"/>
          <w:szCs w:val="24"/>
        </w:rPr>
        <w:t>notify</w:t>
      </w:r>
      <w:r>
        <w:rPr>
          <w:sz w:val="24"/>
          <w:szCs w:val="24"/>
        </w:rPr>
        <w:t xml:space="preserve"> the </w:t>
      </w:r>
      <w:r>
        <w:rPr>
          <w:sz w:val="24"/>
          <w:szCs w:val="24"/>
        </w:rPr>
        <w:lastRenderedPageBreak/>
        <w:t>sending State about the detention of its national.</w:t>
      </w:r>
      <w:r>
        <w:rPr>
          <w:sz w:val="24"/>
          <w:szCs w:val="24"/>
          <w:vertAlign w:val="superscript"/>
        </w:rPr>
        <w:footnoteReference w:id="158"/>
      </w:r>
      <w:r>
        <w:rPr>
          <w:sz w:val="24"/>
          <w:szCs w:val="24"/>
        </w:rPr>
        <w:t xml:space="preserve"> The former State shall allow free communication between the detained national and </w:t>
      </w:r>
      <w:r w:rsidR="00BD5D23">
        <w:rPr>
          <w:sz w:val="24"/>
          <w:szCs w:val="24"/>
        </w:rPr>
        <w:t>his</w:t>
      </w:r>
      <w:r w:rsidR="0083033F">
        <w:rPr>
          <w:sz w:val="24"/>
          <w:szCs w:val="24"/>
        </w:rPr>
        <w:t xml:space="preserve"> </w:t>
      </w:r>
      <w:r>
        <w:rPr>
          <w:sz w:val="24"/>
          <w:szCs w:val="24"/>
        </w:rPr>
        <w:t>consulate.</w:t>
      </w:r>
      <w:r>
        <w:rPr>
          <w:sz w:val="24"/>
          <w:szCs w:val="24"/>
          <w:vertAlign w:val="superscript"/>
        </w:rPr>
        <w:footnoteReference w:id="159"/>
      </w:r>
    </w:p>
    <w:p w14:paraId="6ECA1C78" w14:textId="75170312" w:rsidR="008C2177" w:rsidRDefault="00000000" w:rsidP="00015CF2">
      <w:pPr>
        <w:widowControl/>
        <w:spacing w:before="240" w:after="240" w:line="480" w:lineRule="auto"/>
        <w:ind w:firstLine="720"/>
        <w:jc w:val="both"/>
        <w:rPr>
          <w:sz w:val="24"/>
          <w:szCs w:val="24"/>
        </w:rPr>
      </w:pPr>
      <w:r>
        <w:rPr>
          <w:sz w:val="24"/>
          <w:szCs w:val="24"/>
        </w:rPr>
        <w:t>Antrano informed Ms. Shaw about her rights under the VCCR</w:t>
      </w:r>
      <w:r w:rsidR="000B5DB7">
        <w:rPr>
          <w:sz w:val="24"/>
          <w:szCs w:val="24"/>
        </w:rPr>
        <w:fldChar w:fldCharType="begin"/>
      </w:r>
      <w:r w:rsidR="000B5DB7">
        <w:rPr>
          <w:sz w:val="24"/>
          <w:szCs w:val="24"/>
        </w:rPr>
        <w:instrText xml:space="preserve"> TA \s "VCCR" </w:instrText>
      </w:r>
      <w:r w:rsidR="000B5DB7">
        <w:rPr>
          <w:sz w:val="24"/>
          <w:szCs w:val="24"/>
        </w:rPr>
        <w:fldChar w:fldCharType="end"/>
      </w:r>
      <w:r>
        <w:rPr>
          <w:sz w:val="24"/>
          <w:szCs w:val="24"/>
        </w:rPr>
        <w:t xml:space="preserve"> and the charges against her in a language that she could understand.</w:t>
      </w:r>
      <w:r>
        <w:rPr>
          <w:sz w:val="24"/>
          <w:szCs w:val="24"/>
          <w:vertAlign w:val="superscript"/>
        </w:rPr>
        <w:footnoteReference w:id="160"/>
      </w:r>
      <w:r>
        <w:rPr>
          <w:sz w:val="24"/>
          <w:szCs w:val="24"/>
        </w:rPr>
        <w:t xml:space="preserve"> Antrano was not obliged to accept her request to meet the Remisian consul</w:t>
      </w:r>
      <w:r w:rsidR="00CA7366">
        <w:rPr>
          <w:sz w:val="24"/>
          <w:szCs w:val="24"/>
        </w:rPr>
        <w:t>,</w:t>
      </w:r>
      <w:r>
        <w:rPr>
          <w:sz w:val="24"/>
          <w:szCs w:val="24"/>
          <w:vertAlign w:val="superscript"/>
        </w:rPr>
        <w:footnoteReference w:id="161"/>
      </w:r>
      <w:r>
        <w:rPr>
          <w:sz w:val="24"/>
          <w:szCs w:val="24"/>
        </w:rPr>
        <w:t xml:space="preserve"> </w:t>
      </w:r>
      <w:r w:rsidR="00CA7366">
        <w:rPr>
          <w:sz w:val="24"/>
          <w:szCs w:val="24"/>
        </w:rPr>
        <w:t>but it complied with its VCCR obligations by notifying the consul of her effective nationality, Molvania</w:t>
      </w:r>
      <w:r>
        <w:rPr>
          <w:sz w:val="24"/>
          <w:szCs w:val="24"/>
        </w:rPr>
        <w:t>.</w:t>
      </w:r>
      <w:r>
        <w:rPr>
          <w:sz w:val="24"/>
          <w:szCs w:val="24"/>
          <w:vertAlign w:val="superscript"/>
        </w:rPr>
        <w:footnoteReference w:id="162"/>
      </w:r>
      <w:r>
        <w:rPr>
          <w:sz w:val="24"/>
          <w:szCs w:val="24"/>
        </w:rPr>
        <w:t xml:space="preserve"> Antrano provided Ms. Shaw with the option to freely communicate with the Molvanian consul, but she </w:t>
      </w:r>
      <w:r w:rsidR="00CA7366">
        <w:rPr>
          <w:sz w:val="24"/>
          <w:szCs w:val="24"/>
        </w:rPr>
        <w:t xml:space="preserve">expressly </w:t>
      </w:r>
      <w:r>
        <w:rPr>
          <w:sz w:val="24"/>
          <w:szCs w:val="24"/>
        </w:rPr>
        <w:t>refused to exercise her rights.</w:t>
      </w:r>
      <w:r>
        <w:rPr>
          <w:sz w:val="24"/>
          <w:szCs w:val="24"/>
          <w:vertAlign w:val="superscript"/>
        </w:rPr>
        <w:footnoteReference w:id="163"/>
      </w:r>
      <w:r>
        <w:rPr>
          <w:sz w:val="24"/>
          <w:szCs w:val="24"/>
          <w:vertAlign w:val="superscript"/>
        </w:rPr>
        <w:t xml:space="preserve"> </w:t>
      </w:r>
      <w:r>
        <w:rPr>
          <w:sz w:val="24"/>
          <w:szCs w:val="24"/>
        </w:rPr>
        <w:t>Thus, Antrano guaranteed Ms. Shaw</w:t>
      </w:r>
      <w:r w:rsidR="00CA7366">
        <w:rPr>
          <w:sz w:val="24"/>
          <w:szCs w:val="24"/>
        </w:rPr>
        <w:t>’s</w:t>
      </w:r>
      <w:r>
        <w:rPr>
          <w:sz w:val="24"/>
          <w:szCs w:val="24"/>
        </w:rPr>
        <w:t xml:space="preserve"> rights to consular assistance</w:t>
      </w:r>
      <w:r w:rsidR="00CA7366">
        <w:rPr>
          <w:sz w:val="24"/>
          <w:szCs w:val="24"/>
        </w:rPr>
        <w:t xml:space="preserve"> under the VCCR</w:t>
      </w:r>
      <w:r>
        <w:rPr>
          <w:sz w:val="24"/>
          <w:szCs w:val="24"/>
        </w:rPr>
        <w:t>.</w:t>
      </w:r>
    </w:p>
    <w:p w14:paraId="5AB30BC6" w14:textId="370D2F27" w:rsidR="008C2177" w:rsidRPr="00D75C64" w:rsidRDefault="00000000" w:rsidP="00015CF2">
      <w:pPr>
        <w:pStyle w:val="Ttulo4"/>
        <w:numPr>
          <w:ilvl w:val="0"/>
          <w:numId w:val="35"/>
        </w:numPr>
        <w:spacing w:line="480" w:lineRule="auto"/>
        <w:jc w:val="both"/>
        <w:rPr>
          <w:b w:val="0"/>
          <w:bCs/>
          <w:u w:val="single"/>
        </w:rPr>
      </w:pPr>
      <w:bookmarkStart w:id="40" w:name="_Toc155961582"/>
      <w:r w:rsidRPr="00D75C64">
        <w:rPr>
          <w:b w:val="0"/>
          <w:bCs/>
          <w:u w:val="single"/>
        </w:rPr>
        <w:t>Antrano’s law on non-recognition of purchased citizenship d</w:t>
      </w:r>
      <w:r w:rsidR="00CA7366">
        <w:rPr>
          <w:b w:val="0"/>
          <w:bCs/>
          <w:u w:val="single"/>
        </w:rPr>
        <w:t>id</w:t>
      </w:r>
      <w:r w:rsidRPr="00D75C64">
        <w:rPr>
          <w:b w:val="0"/>
          <w:bCs/>
          <w:u w:val="single"/>
        </w:rPr>
        <w:t xml:space="preserve"> not nullify the purpose of her rights pursuant to Article 36(2) of the treaty</w:t>
      </w:r>
      <w:bookmarkEnd w:id="40"/>
    </w:p>
    <w:p w14:paraId="21D77F3A" w14:textId="3FA4BFDF" w:rsidR="008C2177" w:rsidRDefault="00000000" w:rsidP="00015CF2">
      <w:pPr>
        <w:widowControl/>
        <w:spacing w:before="240" w:after="240" w:line="480" w:lineRule="auto"/>
        <w:ind w:firstLine="720"/>
        <w:jc w:val="both"/>
        <w:rPr>
          <w:sz w:val="24"/>
          <w:szCs w:val="24"/>
        </w:rPr>
      </w:pPr>
      <w:r>
        <w:rPr>
          <w:sz w:val="24"/>
          <w:szCs w:val="24"/>
        </w:rPr>
        <w:t>Article 36(2) states that the laws and regulations of the receiving State must enable full effect to the purposes of the rights recognized under Article 36(1).</w:t>
      </w:r>
      <w:r>
        <w:rPr>
          <w:sz w:val="24"/>
          <w:szCs w:val="24"/>
          <w:vertAlign w:val="superscript"/>
        </w:rPr>
        <w:footnoteReference w:id="164"/>
      </w:r>
      <w:r>
        <w:rPr>
          <w:sz w:val="24"/>
          <w:szCs w:val="24"/>
        </w:rPr>
        <w:t xml:space="preserve"> In accordance with the </w:t>
      </w:r>
      <w:r>
        <w:rPr>
          <w:i/>
          <w:sz w:val="24"/>
          <w:szCs w:val="24"/>
        </w:rPr>
        <w:t>travaux préparatoires</w:t>
      </w:r>
      <w:r>
        <w:rPr>
          <w:sz w:val="24"/>
          <w:szCs w:val="24"/>
        </w:rPr>
        <w:t xml:space="preserve"> of the </w:t>
      </w:r>
      <w:r w:rsidR="00CA7366">
        <w:rPr>
          <w:sz w:val="24"/>
          <w:szCs w:val="24"/>
        </w:rPr>
        <w:t>VCCR</w:t>
      </w:r>
      <w:r w:rsidR="000B5DB7">
        <w:rPr>
          <w:sz w:val="24"/>
          <w:szCs w:val="24"/>
        </w:rPr>
        <w:fldChar w:fldCharType="begin"/>
      </w:r>
      <w:r w:rsidR="000B5DB7">
        <w:rPr>
          <w:sz w:val="24"/>
          <w:szCs w:val="24"/>
        </w:rPr>
        <w:instrText xml:space="preserve"> TA \s "VCCR" </w:instrText>
      </w:r>
      <w:r w:rsidR="000B5DB7">
        <w:rPr>
          <w:sz w:val="24"/>
          <w:szCs w:val="24"/>
        </w:rPr>
        <w:fldChar w:fldCharType="end"/>
      </w:r>
      <w:r>
        <w:rPr>
          <w:sz w:val="24"/>
          <w:szCs w:val="24"/>
        </w:rPr>
        <w:t xml:space="preserve">, this means that the laws cannot nullify the exercise of these </w:t>
      </w:r>
      <w:r>
        <w:rPr>
          <w:sz w:val="24"/>
          <w:szCs w:val="24"/>
        </w:rPr>
        <w:lastRenderedPageBreak/>
        <w:t>rights.</w:t>
      </w:r>
      <w:r>
        <w:rPr>
          <w:sz w:val="24"/>
          <w:szCs w:val="24"/>
          <w:vertAlign w:val="superscript"/>
        </w:rPr>
        <w:footnoteReference w:id="165"/>
      </w:r>
      <w:r>
        <w:rPr>
          <w:sz w:val="24"/>
          <w:szCs w:val="24"/>
        </w:rPr>
        <w:t xml:space="preserve"> Antrano’s law on non-recognition of purchased passports</w:t>
      </w:r>
      <w:r>
        <w:rPr>
          <w:sz w:val="24"/>
          <w:szCs w:val="24"/>
          <w:vertAlign w:val="superscript"/>
        </w:rPr>
        <w:footnoteReference w:id="166"/>
      </w:r>
      <w:r>
        <w:rPr>
          <w:sz w:val="24"/>
          <w:szCs w:val="24"/>
        </w:rPr>
        <w:t xml:space="preserve"> did not interfere with Ms. Shaw’s right to consular assistance, since Antrano still facilitated the possibility for Ms. Shaw to meet with the consul of Molvania, and receive the benefits of consular assistance under the VCCR.</w:t>
      </w:r>
      <w:r>
        <w:rPr>
          <w:sz w:val="24"/>
          <w:szCs w:val="24"/>
          <w:vertAlign w:val="superscript"/>
        </w:rPr>
        <w:footnoteReference w:id="167"/>
      </w:r>
      <w:r>
        <w:rPr>
          <w:sz w:val="24"/>
          <w:szCs w:val="24"/>
        </w:rPr>
        <w:t xml:space="preserve"> </w:t>
      </w:r>
    </w:p>
    <w:p w14:paraId="633894CE" w14:textId="77777777" w:rsidR="008C2177" w:rsidRDefault="008C2177" w:rsidP="00015CF2">
      <w:pPr>
        <w:widowControl/>
        <w:spacing w:before="240" w:after="240" w:line="480" w:lineRule="auto"/>
        <w:ind w:firstLine="720"/>
        <w:jc w:val="both"/>
        <w:rPr>
          <w:sz w:val="24"/>
          <w:szCs w:val="24"/>
        </w:rPr>
      </w:pPr>
    </w:p>
    <w:p w14:paraId="7D0592A6" w14:textId="77777777" w:rsidR="00892401" w:rsidRDefault="00892401" w:rsidP="00015CF2">
      <w:pPr>
        <w:spacing w:before="240" w:line="480" w:lineRule="auto"/>
        <w:jc w:val="both"/>
        <w:rPr>
          <w:b/>
          <w:sz w:val="24"/>
          <w:szCs w:val="24"/>
          <w:highlight w:val="white"/>
        </w:rPr>
      </w:pPr>
      <w:r>
        <w:rPr>
          <w:sz w:val="24"/>
          <w:szCs w:val="24"/>
          <w:highlight w:val="white"/>
        </w:rPr>
        <w:br w:type="page"/>
      </w:r>
    </w:p>
    <w:p w14:paraId="0054B53A" w14:textId="487CF666" w:rsidR="008C2177" w:rsidRPr="00892401" w:rsidRDefault="00000000" w:rsidP="00015CF2">
      <w:pPr>
        <w:pStyle w:val="Ttulo2"/>
        <w:spacing w:before="240" w:line="480" w:lineRule="auto"/>
        <w:jc w:val="both"/>
        <w:rPr>
          <w:sz w:val="24"/>
          <w:szCs w:val="24"/>
          <w:highlight w:val="white"/>
        </w:rPr>
      </w:pPr>
      <w:bookmarkStart w:id="41" w:name="_Toc155961583"/>
      <w:r w:rsidRPr="00892401">
        <w:rPr>
          <w:sz w:val="24"/>
          <w:szCs w:val="24"/>
          <w:highlight w:val="white"/>
        </w:rPr>
        <w:lastRenderedPageBreak/>
        <w:t>IV. REMISIA VIOLATED INTERNATIONAL LAW BY DENYING ANTRANAN NATIONAL DR. TULOUS MALEX ENTRY TO REMISIA AS REQUIRED BY SECURITY COUNCIL RESOLUTION 99997</w:t>
      </w:r>
      <w:bookmarkEnd w:id="41"/>
    </w:p>
    <w:p w14:paraId="4CB9344E" w14:textId="524B94AC" w:rsidR="008C2177" w:rsidRDefault="00000000" w:rsidP="00015CF2">
      <w:pPr>
        <w:widowControl/>
        <w:shd w:val="clear" w:color="auto" w:fill="FFFFFF"/>
        <w:spacing w:before="240" w:after="240" w:line="480" w:lineRule="auto"/>
        <w:jc w:val="both"/>
        <w:rPr>
          <w:sz w:val="24"/>
          <w:szCs w:val="24"/>
        </w:rPr>
      </w:pPr>
      <w:r>
        <w:rPr>
          <w:sz w:val="24"/>
          <w:szCs w:val="24"/>
        </w:rPr>
        <w:t xml:space="preserve">Due to the situation in Remisia concerning the Sterren Forty’s deprivation of nationality, the United Nations Security Council (‘UNSC’) </w:t>
      </w:r>
      <w:r w:rsidR="00A25EB7">
        <w:rPr>
          <w:sz w:val="24"/>
          <w:szCs w:val="24"/>
        </w:rPr>
        <w:t xml:space="preserve">adopted </w:t>
      </w:r>
      <w:r w:rsidR="00A25EB7">
        <w:rPr>
          <w:sz w:val="24"/>
          <w:szCs w:val="24"/>
        </w:rPr>
        <w:t>Resolution 99997</w:t>
      </w:r>
      <w:r w:rsidR="00A25EB7">
        <w:rPr>
          <w:sz w:val="24"/>
          <w:szCs w:val="24"/>
        </w:rPr>
        <w:t xml:space="preserve">, </w:t>
      </w:r>
      <w:r>
        <w:rPr>
          <w:sz w:val="24"/>
          <w:szCs w:val="24"/>
        </w:rPr>
        <w:t>establish</w:t>
      </w:r>
      <w:r w:rsidR="00A25EB7">
        <w:rPr>
          <w:sz w:val="24"/>
          <w:szCs w:val="24"/>
        </w:rPr>
        <w:t>ing</w:t>
      </w:r>
      <w:r>
        <w:rPr>
          <w:sz w:val="24"/>
          <w:szCs w:val="24"/>
        </w:rPr>
        <w:t xml:space="preserve"> the United Nation</w:t>
      </w:r>
      <w:r w:rsidR="00F505CC">
        <w:rPr>
          <w:sz w:val="24"/>
          <w:szCs w:val="24"/>
        </w:rPr>
        <w:t>s</w:t>
      </w:r>
      <w:r>
        <w:rPr>
          <w:sz w:val="24"/>
          <w:szCs w:val="24"/>
        </w:rPr>
        <w:t xml:space="preserve"> Inspection Mission to Remisia (‘UNIMR’).</w:t>
      </w:r>
      <w:r>
        <w:rPr>
          <w:sz w:val="24"/>
          <w:szCs w:val="24"/>
          <w:vertAlign w:val="superscript"/>
        </w:rPr>
        <w:footnoteReference w:id="168"/>
      </w:r>
      <w:r>
        <w:rPr>
          <w:sz w:val="24"/>
          <w:szCs w:val="24"/>
        </w:rPr>
        <w:t xml:space="preserve"> Despite appointing Antranan national Dr. Malex as the mission’s chief, Remisia denied him entry into its territory,</w:t>
      </w:r>
      <w:r>
        <w:rPr>
          <w:sz w:val="24"/>
          <w:szCs w:val="24"/>
          <w:vertAlign w:val="superscript"/>
        </w:rPr>
        <w:footnoteReference w:id="169"/>
      </w:r>
      <w:r>
        <w:rPr>
          <w:sz w:val="24"/>
          <w:szCs w:val="24"/>
        </w:rPr>
        <w:t xml:space="preserve"> hindering the performance of his functions as an UN expert. Remisia justified its non-cooperation by asserting that the UNSC lacked competence since it was allegedly interfering in its domestic affairs.</w:t>
      </w:r>
      <w:r>
        <w:rPr>
          <w:sz w:val="24"/>
          <w:szCs w:val="24"/>
          <w:vertAlign w:val="superscript"/>
        </w:rPr>
        <w:footnoteReference w:id="170"/>
      </w:r>
      <w:r>
        <w:rPr>
          <w:sz w:val="24"/>
          <w:szCs w:val="24"/>
        </w:rPr>
        <w:t xml:space="preserve"> </w:t>
      </w:r>
    </w:p>
    <w:p w14:paraId="7818840D" w14:textId="5AE6F4C0" w:rsidR="008C2177" w:rsidRDefault="00000000" w:rsidP="00015CF2">
      <w:pPr>
        <w:widowControl/>
        <w:shd w:val="clear" w:color="auto" w:fill="FFFFFF"/>
        <w:spacing w:before="240" w:after="240" w:line="480" w:lineRule="auto"/>
        <w:ind w:firstLine="720"/>
        <w:jc w:val="both"/>
        <w:rPr>
          <w:sz w:val="24"/>
          <w:szCs w:val="24"/>
        </w:rPr>
      </w:pPr>
      <w:r>
        <w:rPr>
          <w:sz w:val="24"/>
          <w:szCs w:val="24"/>
        </w:rPr>
        <w:t xml:space="preserve">Conversely, Antrano submits that </w:t>
      </w:r>
      <w:r>
        <w:rPr>
          <w:b/>
          <w:sz w:val="24"/>
          <w:szCs w:val="24"/>
        </w:rPr>
        <w:t xml:space="preserve">(A) </w:t>
      </w:r>
      <w:r>
        <w:rPr>
          <w:sz w:val="24"/>
          <w:szCs w:val="24"/>
        </w:rPr>
        <w:t xml:space="preserve">the UNSC has competence to investigate the Sterren Forty’s situation. Furthermore, Antrano’s claim is admissible since </w:t>
      </w:r>
      <w:r>
        <w:rPr>
          <w:b/>
          <w:sz w:val="24"/>
          <w:szCs w:val="24"/>
        </w:rPr>
        <w:t xml:space="preserve">(B) </w:t>
      </w:r>
      <w:r w:rsidR="001D6590">
        <w:rPr>
          <w:sz w:val="24"/>
          <w:szCs w:val="24"/>
        </w:rPr>
        <w:t>its</w:t>
      </w:r>
      <w:r w:rsidR="001D6590" w:rsidRPr="001D6590">
        <w:rPr>
          <w:sz w:val="24"/>
          <w:szCs w:val="24"/>
        </w:rPr>
        <w:t xml:space="preserve"> </w:t>
      </w:r>
      <w:r w:rsidR="001D6590">
        <w:rPr>
          <w:sz w:val="24"/>
          <w:szCs w:val="24"/>
        </w:rPr>
        <w:t>r</w:t>
      </w:r>
      <w:r w:rsidR="001D6590" w:rsidRPr="001D6590">
        <w:rPr>
          <w:sz w:val="24"/>
          <w:szCs w:val="24"/>
        </w:rPr>
        <w:t>ight to exercise diplomatic protection over Dr. Malex is not precluded by the UN’s functional protectio</w:t>
      </w:r>
      <w:r w:rsidR="001D6590">
        <w:rPr>
          <w:sz w:val="24"/>
          <w:szCs w:val="24"/>
        </w:rPr>
        <w:t>n and</w:t>
      </w:r>
      <w:r>
        <w:rPr>
          <w:sz w:val="24"/>
          <w:szCs w:val="24"/>
        </w:rPr>
        <w:t xml:space="preserve"> </w:t>
      </w:r>
      <w:r>
        <w:rPr>
          <w:b/>
          <w:sz w:val="24"/>
          <w:szCs w:val="24"/>
        </w:rPr>
        <w:t xml:space="preserve">(C) </w:t>
      </w:r>
      <w:r>
        <w:rPr>
          <w:sz w:val="24"/>
          <w:szCs w:val="24"/>
        </w:rPr>
        <w:t xml:space="preserve">Remisia violated international law </w:t>
      </w:r>
      <w:r w:rsidR="001D6590">
        <w:rPr>
          <w:sz w:val="24"/>
          <w:szCs w:val="24"/>
        </w:rPr>
        <w:t xml:space="preserve">for </w:t>
      </w:r>
      <w:r>
        <w:rPr>
          <w:sz w:val="24"/>
          <w:szCs w:val="24"/>
        </w:rPr>
        <w:t xml:space="preserve">denying </w:t>
      </w:r>
      <w:r w:rsidR="00764F14">
        <w:rPr>
          <w:sz w:val="24"/>
          <w:szCs w:val="24"/>
        </w:rPr>
        <w:t>his entry into its territory</w:t>
      </w:r>
      <w:r w:rsidR="0021061D">
        <w:rPr>
          <w:sz w:val="24"/>
          <w:szCs w:val="24"/>
        </w:rPr>
        <w:t xml:space="preserve">. </w:t>
      </w:r>
    </w:p>
    <w:p w14:paraId="5F8EEEA4" w14:textId="77777777" w:rsidR="008C2177" w:rsidRPr="00D75C64" w:rsidRDefault="00000000" w:rsidP="00015CF2">
      <w:pPr>
        <w:pStyle w:val="Ttulo3"/>
        <w:numPr>
          <w:ilvl w:val="0"/>
          <w:numId w:val="37"/>
        </w:numPr>
        <w:spacing w:before="240" w:line="480" w:lineRule="auto"/>
        <w:jc w:val="both"/>
        <w:rPr>
          <w:sz w:val="24"/>
          <w:szCs w:val="24"/>
        </w:rPr>
      </w:pPr>
      <w:bookmarkStart w:id="42" w:name="_Toc155961584"/>
      <w:r>
        <w:rPr>
          <w:sz w:val="24"/>
          <w:szCs w:val="24"/>
        </w:rPr>
        <w:t>The UNSC has competence to investigate the Sterren Forty’s situation</w:t>
      </w:r>
      <w:bookmarkEnd w:id="42"/>
    </w:p>
    <w:p w14:paraId="0965F69A" w14:textId="38B08B95" w:rsidR="008C2177" w:rsidRDefault="00000000" w:rsidP="00015CF2">
      <w:pPr>
        <w:widowControl/>
        <w:shd w:val="clear" w:color="auto" w:fill="FFFFFF"/>
        <w:spacing w:before="240" w:line="480" w:lineRule="auto"/>
        <w:ind w:firstLine="720"/>
        <w:jc w:val="both"/>
        <w:rPr>
          <w:sz w:val="24"/>
          <w:szCs w:val="24"/>
        </w:rPr>
      </w:pPr>
      <w:r>
        <w:rPr>
          <w:sz w:val="24"/>
          <w:szCs w:val="24"/>
        </w:rPr>
        <w:t>The UNSC as an independent organ retains the right to primarily determine its competence by interpreting the UN Charter</w:t>
      </w:r>
      <w:r w:rsidR="000B5DB7">
        <w:rPr>
          <w:sz w:val="24"/>
          <w:szCs w:val="24"/>
        </w:rPr>
        <w:fldChar w:fldCharType="begin"/>
      </w:r>
      <w:r w:rsidR="000B5DB7">
        <w:rPr>
          <w:sz w:val="24"/>
          <w:szCs w:val="24"/>
        </w:rPr>
        <w:instrText xml:space="preserve"> TA \s "UN Charter" </w:instrText>
      </w:r>
      <w:r w:rsidR="000B5DB7">
        <w:rPr>
          <w:sz w:val="24"/>
          <w:szCs w:val="24"/>
        </w:rPr>
        <w:fldChar w:fldCharType="end"/>
      </w:r>
      <w:r>
        <w:rPr>
          <w:sz w:val="24"/>
          <w:szCs w:val="24"/>
        </w:rPr>
        <w:t>,</w:t>
      </w:r>
      <w:r>
        <w:rPr>
          <w:sz w:val="24"/>
          <w:szCs w:val="24"/>
          <w:vertAlign w:val="superscript"/>
        </w:rPr>
        <w:footnoteReference w:id="171"/>
      </w:r>
      <w:r>
        <w:rPr>
          <w:sz w:val="24"/>
          <w:szCs w:val="24"/>
        </w:rPr>
        <w:t xml:space="preserve"> which carries a presumption of legal validity.</w:t>
      </w:r>
      <w:r>
        <w:rPr>
          <w:sz w:val="24"/>
          <w:szCs w:val="24"/>
          <w:vertAlign w:val="superscript"/>
        </w:rPr>
        <w:footnoteReference w:id="172"/>
      </w:r>
      <w:r>
        <w:rPr>
          <w:sz w:val="24"/>
          <w:szCs w:val="24"/>
        </w:rPr>
        <w:t xml:space="preserve"> </w:t>
      </w:r>
      <w:r>
        <w:rPr>
          <w:sz w:val="24"/>
          <w:szCs w:val="24"/>
        </w:rPr>
        <w:lastRenderedPageBreak/>
        <w:t xml:space="preserve">Article 34 of the UN Charter establishes the legal basis for </w:t>
      </w:r>
      <w:r w:rsidR="00A25EB7">
        <w:rPr>
          <w:sz w:val="24"/>
          <w:szCs w:val="24"/>
        </w:rPr>
        <w:t>the UNSC</w:t>
      </w:r>
      <w:r>
        <w:rPr>
          <w:sz w:val="24"/>
          <w:szCs w:val="24"/>
        </w:rPr>
        <w:t xml:space="preserve"> to investigate situations that may lead to international frictions.</w:t>
      </w:r>
      <w:r>
        <w:rPr>
          <w:sz w:val="24"/>
          <w:szCs w:val="24"/>
          <w:vertAlign w:val="superscript"/>
        </w:rPr>
        <w:footnoteReference w:id="173"/>
      </w:r>
      <w:r>
        <w:rPr>
          <w:sz w:val="24"/>
          <w:szCs w:val="24"/>
        </w:rPr>
        <w:t xml:space="preserve"> </w:t>
      </w:r>
    </w:p>
    <w:p w14:paraId="27B23070" w14:textId="04E1DFFC" w:rsidR="008C2177" w:rsidRDefault="00000000" w:rsidP="00015CF2">
      <w:pPr>
        <w:widowControl/>
        <w:shd w:val="clear" w:color="auto" w:fill="FFFFFF"/>
        <w:spacing w:before="240" w:line="480" w:lineRule="auto"/>
        <w:ind w:firstLine="720"/>
        <w:jc w:val="both"/>
        <w:rPr>
          <w:sz w:val="24"/>
          <w:szCs w:val="24"/>
        </w:rPr>
      </w:pPr>
      <w:r>
        <w:rPr>
          <w:sz w:val="24"/>
          <w:szCs w:val="24"/>
        </w:rPr>
        <w:t xml:space="preserve">Although the UNSC does not have competence in affairs which are </w:t>
      </w:r>
      <w:r w:rsidR="001D6590">
        <w:rPr>
          <w:sz w:val="24"/>
          <w:szCs w:val="24"/>
        </w:rPr>
        <w:t xml:space="preserve">essentially </w:t>
      </w:r>
      <w:r>
        <w:rPr>
          <w:sz w:val="24"/>
          <w:szCs w:val="24"/>
        </w:rPr>
        <w:t>within the domestic jurisdiction of States,</w:t>
      </w:r>
      <w:r>
        <w:rPr>
          <w:sz w:val="24"/>
          <w:szCs w:val="24"/>
          <w:vertAlign w:val="superscript"/>
        </w:rPr>
        <w:footnoteReference w:id="174"/>
      </w:r>
      <w:r>
        <w:rPr>
          <w:sz w:val="24"/>
          <w:szCs w:val="24"/>
        </w:rPr>
        <w:t xml:space="preserve"> the right to nationality is a matter of international law</w:t>
      </w:r>
      <w:r w:rsidR="001D6590">
        <w:rPr>
          <w:sz w:val="24"/>
          <w:szCs w:val="24"/>
        </w:rPr>
        <w:t>, as it is a basic human right protected by the international community</w:t>
      </w:r>
      <w:r>
        <w:rPr>
          <w:sz w:val="24"/>
          <w:szCs w:val="24"/>
        </w:rPr>
        <w:t>.</w:t>
      </w:r>
      <w:r>
        <w:rPr>
          <w:sz w:val="24"/>
          <w:szCs w:val="24"/>
          <w:vertAlign w:val="superscript"/>
        </w:rPr>
        <w:footnoteReference w:id="175"/>
      </w:r>
      <w:r>
        <w:rPr>
          <w:sz w:val="24"/>
          <w:szCs w:val="24"/>
        </w:rPr>
        <w:t xml:space="preserve"> This is supported by both Regional Human Rights Courts</w:t>
      </w:r>
      <w:r>
        <w:rPr>
          <w:sz w:val="24"/>
          <w:szCs w:val="24"/>
          <w:vertAlign w:val="superscript"/>
        </w:rPr>
        <w:footnoteReference w:id="176"/>
      </w:r>
      <w:r>
        <w:rPr>
          <w:sz w:val="24"/>
          <w:szCs w:val="24"/>
        </w:rPr>
        <w:t xml:space="preserve"> and practice of UN organs.</w:t>
      </w:r>
      <w:r>
        <w:rPr>
          <w:sz w:val="24"/>
          <w:szCs w:val="24"/>
          <w:vertAlign w:val="superscript"/>
        </w:rPr>
        <w:footnoteReference w:id="177"/>
      </w:r>
      <w:r>
        <w:rPr>
          <w:sz w:val="24"/>
          <w:szCs w:val="24"/>
        </w:rPr>
        <w:t xml:space="preserve"> Consequently, the UNSC created the UNIMR under Article 34 of the UN Charter</w:t>
      </w:r>
      <w:r w:rsidR="000B5DB7">
        <w:rPr>
          <w:sz w:val="24"/>
          <w:szCs w:val="24"/>
        </w:rPr>
        <w:fldChar w:fldCharType="begin"/>
      </w:r>
      <w:r w:rsidR="000B5DB7">
        <w:rPr>
          <w:sz w:val="24"/>
          <w:szCs w:val="24"/>
        </w:rPr>
        <w:instrText xml:space="preserve"> TA \s "UN Charter" </w:instrText>
      </w:r>
      <w:r w:rsidR="000B5DB7">
        <w:rPr>
          <w:sz w:val="24"/>
          <w:szCs w:val="24"/>
        </w:rPr>
        <w:fldChar w:fldCharType="end"/>
      </w:r>
      <w:r>
        <w:rPr>
          <w:sz w:val="24"/>
          <w:szCs w:val="24"/>
        </w:rPr>
        <w:t>,</w:t>
      </w:r>
      <w:r>
        <w:rPr>
          <w:sz w:val="24"/>
          <w:szCs w:val="24"/>
          <w:vertAlign w:val="superscript"/>
        </w:rPr>
        <w:footnoteReference w:id="178"/>
      </w:r>
      <w:r>
        <w:rPr>
          <w:sz w:val="24"/>
          <w:szCs w:val="24"/>
        </w:rPr>
        <w:t xml:space="preserve"> and Remisia cannot argue that the UNSC lacks competence to investigate the Sterren Forty’s deprivation of nationality since it is a matter of international concern. </w:t>
      </w:r>
    </w:p>
    <w:p w14:paraId="79F8FEE4" w14:textId="62F6C97E" w:rsidR="008C2177" w:rsidRPr="00D75C64" w:rsidRDefault="001D6590" w:rsidP="00015CF2">
      <w:pPr>
        <w:pStyle w:val="Ttulo3"/>
        <w:numPr>
          <w:ilvl w:val="0"/>
          <w:numId w:val="37"/>
        </w:numPr>
        <w:spacing w:before="240" w:line="480" w:lineRule="auto"/>
        <w:jc w:val="both"/>
        <w:rPr>
          <w:sz w:val="24"/>
          <w:szCs w:val="24"/>
        </w:rPr>
      </w:pPr>
      <w:bookmarkStart w:id="43" w:name="_Hlk155953436"/>
      <w:bookmarkStart w:id="44" w:name="_Toc155961585"/>
      <w:r>
        <w:rPr>
          <w:sz w:val="24"/>
          <w:szCs w:val="24"/>
        </w:rPr>
        <w:lastRenderedPageBreak/>
        <w:t>Antrano’s right to exercise diplomatic protection over Dr. Malex</w:t>
      </w:r>
      <w:r>
        <w:rPr>
          <w:sz w:val="24"/>
          <w:szCs w:val="24"/>
        </w:rPr>
        <w:t xml:space="preserve"> is not precluded by t</w:t>
      </w:r>
      <w:r w:rsidR="00000000">
        <w:rPr>
          <w:sz w:val="24"/>
          <w:szCs w:val="24"/>
        </w:rPr>
        <w:t>he UN’s functional protection</w:t>
      </w:r>
      <w:bookmarkEnd w:id="44"/>
      <w:r w:rsidR="00000000">
        <w:rPr>
          <w:sz w:val="24"/>
          <w:szCs w:val="24"/>
        </w:rPr>
        <w:t xml:space="preserve"> </w:t>
      </w:r>
    </w:p>
    <w:bookmarkEnd w:id="43"/>
    <w:p w14:paraId="60577899" w14:textId="2E29A9D8" w:rsidR="008C2177" w:rsidRDefault="00000000" w:rsidP="00015CF2">
      <w:pPr>
        <w:widowControl/>
        <w:shd w:val="clear" w:color="auto" w:fill="FFFFFF"/>
        <w:spacing w:before="240" w:line="480" w:lineRule="auto"/>
        <w:ind w:firstLine="720"/>
        <w:jc w:val="both"/>
        <w:rPr>
          <w:sz w:val="24"/>
          <w:szCs w:val="24"/>
        </w:rPr>
      </w:pPr>
      <w:r>
        <w:rPr>
          <w:sz w:val="24"/>
          <w:szCs w:val="24"/>
        </w:rPr>
        <w:t>The Convention on the Privileges and Immunities of the United Nations (‘CPI’) grants privileges to mission experts in the interest of the UN.</w:t>
      </w:r>
      <w:r>
        <w:rPr>
          <w:sz w:val="24"/>
          <w:szCs w:val="24"/>
          <w:vertAlign w:val="superscript"/>
        </w:rPr>
        <w:footnoteReference w:id="179"/>
      </w:r>
      <w:r>
        <w:rPr>
          <w:sz w:val="24"/>
          <w:szCs w:val="24"/>
        </w:rPr>
        <w:t xml:space="preserve"> While the UN may exercise functional protection during the performance of their functions,</w:t>
      </w:r>
      <w:r>
        <w:rPr>
          <w:sz w:val="24"/>
          <w:szCs w:val="24"/>
          <w:vertAlign w:val="superscript"/>
        </w:rPr>
        <w:footnoteReference w:id="180"/>
      </w:r>
      <w:r>
        <w:rPr>
          <w:sz w:val="24"/>
          <w:szCs w:val="24"/>
        </w:rPr>
        <w:t xml:space="preserve"> the State of nationality can exercise its right of diplomatic protection on behalf of its national</w:t>
      </w:r>
      <w:r>
        <w:rPr>
          <w:sz w:val="24"/>
          <w:szCs w:val="24"/>
          <w:vertAlign w:val="superscript"/>
        </w:rPr>
        <w:footnoteReference w:id="181"/>
      </w:r>
      <w:r>
        <w:rPr>
          <w:sz w:val="24"/>
          <w:szCs w:val="24"/>
        </w:rPr>
        <w:t xml:space="preserve"> as much as it deems necessary.</w:t>
      </w:r>
      <w:r>
        <w:rPr>
          <w:sz w:val="24"/>
          <w:szCs w:val="24"/>
          <w:vertAlign w:val="superscript"/>
        </w:rPr>
        <w:footnoteReference w:id="182"/>
      </w:r>
      <w:r>
        <w:rPr>
          <w:sz w:val="24"/>
          <w:szCs w:val="24"/>
        </w:rPr>
        <w:t xml:space="preserve"> This is subject only to the requirements of nationality and exhaustion of local remedies.</w:t>
      </w:r>
      <w:r>
        <w:rPr>
          <w:sz w:val="24"/>
          <w:szCs w:val="24"/>
          <w:vertAlign w:val="superscript"/>
        </w:rPr>
        <w:footnoteReference w:id="183"/>
      </w:r>
      <w:r>
        <w:rPr>
          <w:sz w:val="24"/>
          <w:szCs w:val="24"/>
        </w:rPr>
        <w:t xml:space="preserve"> In this case, exhaustion of local remedies is n</w:t>
      </w:r>
      <w:r w:rsidR="00E83A3F">
        <w:rPr>
          <w:sz w:val="24"/>
          <w:szCs w:val="24"/>
        </w:rPr>
        <w:t>either</w:t>
      </w:r>
      <w:r>
        <w:rPr>
          <w:sz w:val="24"/>
          <w:szCs w:val="24"/>
        </w:rPr>
        <w:t xml:space="preserve"> required nor possible</w:t>
      </w:r>
      <w:r>
        <w:rPr>
          <w:sz w:val="24"/>
          <w:szCs w:val="24"/>
          <w:vertAlign w:val="superscript"/>
        </w:rPr>
        <w:footnoteReference w:id="184"/>
      </w:r>
      <w:r>
        <w:rPr>
          <w:sz w:val="24"/>
          <w:szCs w:val="24"/>
        </w:rPr>
        <w:t xml:space="preserve"> as Dr. Malex was prevented from entering the territory of </w:t>
      </w:r>
      <w:r w:rsidR="00764F14">
        <w:rPr>
          <w:sz w:val="24"/>
          <w:szCs w:val="24"/>
        </w:rPr>
        <w:t>Remisia</w:t>
      </w:r>
      <w:r>
        <w:rPr>
          <w:sz w:val="24"/>
          <w:szCs w:val="24"/>
        </w:rPr>
        <w:t>, to be able to seek or exhaust local remedies.</w:t>
      </w:r>
      <w:r>
        <w:rPr>
          <w:sz w:val="24"/>
          <w:szCs w:val="24"/>
          <w:vertAlign w:val="superscript"/>
        </w:rPr>
        <w:footnoteReference w:id="185"/>
      </w:r>
      <w:r>
        <w:rPr>
          <w:sz w:val="24"/>
          <w:szCs w:val="24"/>
        </w:rPr>
        <w:t xml:space="preserve"> </w:t>
      </w:r>
    </w:p>
    <w:p w14:paraId="16BA6485" w14:textId="4319FBFD" w:rsidR="008C2177" w:rsidRDefault="00D071E4" w:rsidP="00015CF2">
      <w:pPr>
        <w:widowControl/>
        <w:shd w:val="clear" w:color="auto" w:fill="FFFFFF"/>
        <w:spacing w:before="240" w:line="480" w:lineRule="auto"/>
        <w:ind w:firstLine="720"/>
        <w:jc w:val="both"/>
        <w:rPr>
          <w:sz w:val="24"/>
          <w:szCs w:val="24"/>
        </w:rPr>
      </w:pPr>
      <w:r>
        <w:rPr>
          <w:sz w:val="24"/>
          <w:szCs w:val="24"/>
        </w:rPr>
        <w:t>The fact that that Dr. Malex is an Antranan national</w:t>
      </w:r>
      <w:r w:rsidR="00F53417">
        <w:rPr>
          <w:sz w:val="24"/>
          <w:szCs w:val="24"/>
        </w:rPr>
        <w:t xml:space="preserve"> is not in question</w:t>
      </w:r>
      <w:r>
        <w:rPr>
          <w:sz w:val="24"/>
          <w:szCs w:val="24"/>
        </w:rPr>
        <w:t>.</w:t>
      </w:r>
      <w:r>
        <w:rPr>
          <w:sz w:val="24"/>
          <w:szCs w:val="24"/>
          <w:vertAlign w:val="superscript"/>
        </w:rPr>
        <w:footnoteReference w:id="186"/>
      </w:r>
      <w:r>
        <w:rPr>
          <w:sz w:val="24"/>
          <w:szCs w:val="24"/>
        </w:rPr>
        <w:t xml:space="preserve"> Further, upon accession to the CPI</w:t>
      </w:r>
      <w:r w:rsidR="00B16E0A">
        <w:rPr>
          <w:sz w:val="24"/>
          <w:szCs w:val="24"/>
        </w:rPr>
        <w:t>,</w:t>
      </w:r>
      <w:r w:rsidR="000E212C">
        <w:rPr>
          <w:sz w:val="24"/>
          <w:szCs w:val="24"/>
        </w:rPr>
        <w:fldChar w:fldCharType="begin"/>
      </w:r>
      <w:r w:rsidR="000E212C">
        <w:rPr>
          <w:sz w:val="24"/>
          <w:szCs w:val="24"/>
        </w:rPr>
        <w:instrText xml:space="preserve"> TA \s "CPI," </w:instrText>
      </w:r>
      <w:r w:rsidR="000E212C">
        <w:rPr>
          <w:sz w:val="24"/>
          <w:szCs w:val="24"/>
        </w:rPr>
        <w:fldChar w:fldCharType="end"/>
      </w:r>
      <w:r>
        <w:rPr>
          <w:sz w:val="24"/>
          <w:szCs w:val="24"/>
        </w:rPr>
        <w:t xml:space="preserve"> Antrano declared that its right to exercise diplomatic protection on behalf of its nationals is not affected by their status as UN experts, even when the injury concerns also </w:t>
      </w:r>
      <w:r>
        <w:rPr>
          <w:sz w:val="24"/>
          <w:szCs w:val="24"/>
        </w:rPr>
        <w:lastRenderedPageBreak/>
        <w:t>the interests of the UN.</w:t>
      </w:r>
      <w:r>
        <w:rPr>
          <w:sz w:val="24"/>
          <w:szCs w:val="24"/>
          <w:vertAlign w:val="superscript"/>
        </w:rPr>
        <w:footnoteReference w:id="187"/>
      </w:r>
      <w:r>
        <w:rPr>
          <w:sz w:val="24"/>
          <w:szCs w:val="24"/>
        </w:rPr>
        <w:t xml:space="preserve"> Since neither Remisia nor any other State party to the treaty has objected</w:t>
      </w:r>
      <w:r w:rsidR="0034125A">
        <w:rPr>
          <w:sz w:val="24"/>
          <w:szCs w:val="24"/>
        </w:rPr>
        <w:t xml:space="preserve"> to</w:t>
      </w:r>
      <w:r>
        <w:rPr>
          <w:sz w:val="24"/>
          <w:szCs w:val="24"/>
        </w:rPr>
        <w:t xml:space="preserve"> this declaration,</w:t>
      </w:r>
      <w:r>
        <w:rPr>
          <w:sz w:val="24"/>
          <w:szCs w:val="24"/>
          <w:vertAlign w:val="superscript"/>
        </w:rPr>
        <w:footnoteReference w:id="188"/>
      </w:r>
      <w:r>
        <w:rPr>
          <w:sz w:val="24"/>
          <w:szCs w:val="24"/>
        </w:rPr>
        <w:t xml:space="preserve"> Antrano can exercise diplomatic protection on behalf of Dr. Malex without prejudice to the UN functional protection.</w:t>
      </w:r>
    </w:p>
    <w:p w14:paraId="07AEFB1E" w14:textId="7D197FE0" w:rsidR="008C2177" w:rsidRPr="00D75C64" w:rsidRDefault="00000000" w:rsidP="00015CF2">
      <w:pPr>
        <w:pStyle w:val="Ttulo3"/>
        <w:numPr>
          <w:ilvl w:val="0"/>
          <w:numId w:val="37"/>
        </w:numPr>
        <w:spacing w:before="240" w:line="480" w:lineRule="auto"/>
        <w:jc w:val="both"/>
        <w:rPr>
          <w:sz w:val="24"/>
          <w:szCs w:val="24"/>
        </w:rPr>
      </w:pPr>
      <w:bookmarkStart w:id="45" w:name="_Toc155961586"/>
      <w:r>
        <w:rPr>
          <w:sz w:val="24"/>
          <w:szCs w:val="24"/>
        </w:rPr>
        <w:t xml:space="preserve">Remisia violated international law by </w:t>
      </w:r>
      <w:r w:rsidR="00F53417">
        <w:rPr>
          <w:sz w:val="24"/>
          <w:szCs w:val="24"/>
        </w:rPr>
        <w:t>denying D</w:t>
      </w:r>
      <w:r>
        <w:rPr>
          <w:sz w:val="24"/>
          <w:szCs w:val="24"/>
        </w:rPr>
        <w:t xml:space="preserve">r. Malex </w:t>
      </w:r>
      <w:r w:rsidR="00F53417">
        <w:rPr>
          <w:sz w:val="24"/>
          <w:szCs w:val="24"/>
        </w:rPr>
        <w:t xml:space="preserve">entry </w:t>
      </w:r>
      <w:r>
        <w:rPr>
          <w:sz w:val="24"/>
          <w:szCs w:val="24"/>
        </w:rPr>
        <w:t>to it</w:t>
      </w:r>
      <w:r w:rsidR="00C222B5">
        <w:rPr>
          <w:sz w:val="24"/>
          <w:szCs w:val="24"/>
        </w:rPr>
        <w:t>s</w:t>
      </w:r>
      <w:r>
        <w:rPr>
          <w:sz w:val="24"/>
          <w:szCs w:val="24"/>
        </w:rPr>
        <w:t xml:space="preserve"> territory</w:t>
      </w:r>
      <w:bookmarkEnd w:id="45"/>
    </w:p>
    <w:p w14:paraId="5EE4553C" w14:textId="38A29568" w:rsidR="008C2177" w:rsidRDefault="00000000" w:rsidP="00015CF2">
      <w:pPr>
        <w:widowControl/>
        <w:spacing w:before="240" w:line="480" w:lineRule="auto"/>
        <w:ind w:firstLine="720"/>
        <w:jc w:val="both"/>
        <w:rPr>
          <w:sz w:val="24"/>
          <w:szCs w:val="24"/>
        </w:rPr>
      </w:pPr>
      <w:r>
        <w:rPr>
          <w:sz w:val="24"/>
          <w:szCs w:val="24"/>
        </w:rPr>
        <w:t xml:space="preserve">Remisia violated </w:t>
      </w:r>
      <w:r>
        <w:rPr>
          <w:b/>
          <w:sz w:val="24"/>
          <w:szCs w:val="24"/>
        </w:rPr>
        <w:t>(1)</w:t>
      </w:r>
      <w:r>
        <w:rPr>
          <w:sz w:val="24"/>
          <w:szCs w:val="24"/>
        </w:rPr>
        <w:t xml:space="preserve"> Dr. Malex</w:t>
      </w:r>
      <w:r w:rsidR="00E83A3F">
        <w:rPr>
          <w:sz w:val="24"/>
          <w:szCs w:val="24"/>
        </w:rPr>
        <w:t>’</w:t>
      </w:r>
      <w:r>
        <w:rPr>
          <w:sz w:val="24"/>
          <w:szCs w:val="24"/>
        </w:rPr>
        <w:t xml:space="preserve">s privileges conferred by Article </w:t>
      </w:r>
      <w:r w:rsidR="00E83A3F">
        <w:rPr>
          <w:sz w:val="24"/>
          <w:szCs w:val="24"/>
        </w:rPr>
        <w:t xml:space="preserve">7 </w:t>
      </w:r>
      <w:r>
        <w:rPr>
          <w:sz w:val="24"/>
          <w:szCs w:val="24"/>
        </w:rPr>
        <w:t xml:space="preserve">of the CPI and </w:t>
      </w:r>
      <w:r>
        <w:rPr>
          <w:b/>
          <w:sz w:val="24"/>
          <w:szCs w:val="24"/>
        </w:rPr>
        <w:t>(2)</w:t>
      </w:r>
      <w:r>
        <w:rPr>
          <w:sz w:val="24"/>
          <w:szCs w:val="24"/>
        </w:rPr>
        <w:t xml:space="preserve"> Article 25 of the UN Charter</w:t>
      </w:r>
      <w:r w:rsidR="000B5DB7">
        <w:rPr>
          <w:sz w:val="24"/>
          <w:szCs w:val="24"/>
        </w:rPr>
        <w:fldChar w:fldCharType="begin"/>
      </w:r>
      <w:r w:rsidR="000B5DB7">
        <w:rPr>
          <w:sz w:val="24"/>
          <w:szCs w:val="24"/>
        </w:rPr>
        <w:instrText xml:space="preserve"> TA \s "UN Charter" </w:instrText>
      </w:r>
      <w:r w:rsidR="000B5DB7">
        <w:rPr>
          <w:sz w:val="24"/>
          <w:szCs w:val="24"/>
        </w:rPr>
        <w:fldChar w:fldCharType="end"/>
      </w:r>
      <w:r>
        <w:rPr>
          <w:sz w:val="24"/>
          <w:szCs w:val="24"/>
        </w:rPr>
        <w:t xml:space="preserve"> by not complying with the obligation to cooperate with the UNIMR imposed by the UNSC Resolution 99997.</w:t>
      </w:r>
    </w:p>
    <w:p w14:paraId="78A6C67F" w14:textId="2E6F88F0" w:rsidR="008C2177" w:rsidRPr="00D75C64" w:rsidRDefault="00000000" w:rsidP="00015CF2">
      <w:pPr>
        <w:pStyle w:val="Ttulo4"/>
        <w:numPr>
          <w:ilvl w:val="0"/>
          <w:numId w:val="38"/>
        </w:numPr>
        <w:spacing w:line="480" w:lineRule="auto"/>
        <w:jc w:val="both"/>
        <w:rPr>
          <w:b w:val="0"/>
          <w:bCs/>
          <w:u w:val="single"/>
        </w:rPr>
      </w:pPr>
      <w:bookmarkStart w:id="46" w:name="_Toc155961587"/>
      <w:r w:rsidRPr="00D75C64">
        <w:rPr>
          <w:b w:val="0"/>
          <w:bCs/>
          <w:u w:val="single"/>
        </w:rPr>
        <w:t>Remisia violated Dr. Malex</w:t>
      </w:r>
      <w:r w:rsidR="00B7224F">
        <w:rPr>
          <w:b w:val="0"/>
          <w:bCs/>
          <w:u w:val="single"/>
        </w:rPr>
        <w:t>’</w:t>
      </w:r>
      <w:r w:rsidRPr="00D75C64">
        <w:rPr>
          <w:b w:val="0"/>
          <w:bCs/>
          <w:u w:val="single"/>
        </w:rPr>
        <w:t xml:space="preserve">s privileges conferred by Article </w:t>
      </w:r>
      <w:r w:rsidR="00B7224F">
        <w:rPr>
          <w:b w:val="0"/>
          <w:bCs/>
          <w:u w:val="single"/>
        </w:rPr>
        <w:t xml:space="preserve">7 </w:t>
      </w:r>
      <w:r w:rsidRPr="00D75C64">
        <w:rPr>
          <w:b w:val="0"/>
          <w:bCs/>
          <w:u w:val="single"/>
        </w:rPr>
        <w:t>of the CPI</w:t>
      </w:r>
      <w:bookmarkEnd w:id="46"/>
    </w:p>
    <w:p w14:paraId="3119DEF6" w14:textId="6806C8F0" w:rsidR="008C2177" w:rsidRDefault="00000000" w:rsidP="00015CF2">
      <w:pPr>
        <w:widowControl/>
        <w:spacing w:before="240" w:line="480" w:lineRule="auto"/>
        <w:ind w:firstLine="720"/>
        <w:jc w:val="both"/>
        <w:rPr>
          <w:b/>
          <w:sz w:val="24"/>
          <w:szCs w:val="24"/>
        </w:rPr>
      </w:pPr>
      <w:r>
        <w:rPr>
          <w:sz w:val="24"/>
          <w:szCs w:val="24"/>
        </w:rPr>
        <w:t>Under the CPI</w:t>
      </w:r>
      <w:r w:rsidR="00B16E0A">
        <w:rPr>
          <w:sz w:val="24"/>
          <w:szCs w:val="24"/>
        </w:rPr>
        <w:t>,</w:t>
      </w:r>
      <w:r w:rsidR="000E212C">
        <w:rPr>
          <w:sz w:val="24"/>
          <w:szCs w:val="24"/>
        </w:rPr>
        <w:fldChar w:fldCharType="begin"/>
      </w:r>
      <w:r w:rsidR="000E212C">
        <w:rPr>
          <w:sz w:val="24"/>
          <w:szCs w:val="24"/>
        </w:rPr>
        <w:instrText xml:space="preserve"> TA \s "CPI," </w:instrText>
      </w:r>
      <w:r w:rsidR="000E212C">
        <w:rPr>
          <w:sz w:val="24"/>
          <w:szCs w:val="24"/>
        </w:rPr>
        <w:fldChar w:fldCharType="end"/>
      </w:r>
      <w:r>
        <w:rPr>
          <w:sz w:val="24"/>
          <w:szCs w:val="24"/>
        </w:rPr>
        <w:t xml:space="preserve"> freedom for officials to travel is granted as a privilege for the exercise of their functions</w:t>
      </w:r>
      <w:r>
        <w:rPr>
          <w:sz w:val="24"/>
          <w:szCs w:val="24"/>
          <w:vertAlign w:val="superscript"/>
        </w:rPr>
        <w:footnoteReference w:id="189"/>
      </w:r>
      <w:r>
        <w:rPr>
          <w:sz w:val="24"/>
          <w:szCs w:val="24"/>
        </w:rPr>
        <w:t xml:space="preserve"> and State parties are obliged to allow entry or grant visas promptly</w:t>
      </w:r>
      <w:r>
        <w:rPr>
          <w:sz w:val="24"/>
          <w:szCs w:val="24"/>
          <w:vertAlign w:val="superscript"/>
        </w:rPr>
        <w:footnoteReference w:id="190"/>
      </w:r>
      <w:r>
        <w:rPr>
          <w:sz w:val="24"/>
          <w:szCs w:val="24"/>
        </w:rPr>
        <w:t xml:space="preserve">  to experts on missions who present a United Nations certificate.</w:t>
      </w:r>
      <w:r>
        <w:rPr>
          <w:sz w:val="24"/>
          <w:szCs w:val="24"/>
          <w:vertAlign w:val="superscript"/>
        </w:rPr>
        <w:footnoteReference w:id="191"/>
      </w:r>
      <w:r>
        <w:rPr>
          <w:sz w:val="24"/>
          <w:szCs w:val="24"/>
        </w:rPr>
        <w:t xml:space="preserve"> Dr. Malex traveled to Remisia as a leading expert of the UNIMR with a UN certificate.</w:t>
      </w:r>
      <w:r>
        <w:rPr>
          <w:sz w:val="24"/>
          <w:szCs w:val="24"/>
          <w:vertAlign w:val="superscript"/>
        </w:rPr>
        <w:footnoteReference w:id="192"/>
      </w:r>
      <w:r>
        <w:rPr>
          <w:sz w:val="24"/>
          <w:szCs w:val="24"/>
        </w:rPr>
        <w:t xml:space="preserve"> However, </w:t>
      </w:r>
      <w:r w:rsidR="007D1B71">
        <w:rPr>
          <w:sz w:val="24"/>
          <w:szCs w:val="24"/>
        </w:rPr>
        <w:t>Remisia</w:t>
      </w:r>
      <w:r>
        <w:rPr>
          <w:sz w:val="24"/>
          <w:szCs w:val="24"/>
        </w:rPr>
        <w:t xml:space="preserve"> did not allow his entry,</w:t>
      </w:r>
      <w:r>
        <w:rPr>
          <w:sz w:val="24"/>
          <w:szCs w:val="24"/>
          <w:vertAlign w:val="superscript"/>
        </w:rPr>
        <w:footnoteReference w:id="193"/>
      </w:r>
      <w:r>
        <w:rPr>
          <w:sz w:val="24"/>
          <w:szCs w:val="24"/>
        </w:rPr>
        <w:t xml:space="preserve"> and stated that under no circumstances would it grant him an entry visa to</w:t>
      </w:r>
      <w:r w:rsidR="0034125A">
        <w:rPr>
          <w:sz w:val="24"/>
          <w:szCs w:val="24"/>
        </w:rPr>
        <w:t xml:space="preserve"> fulfill</w:t>
      </w:r>
      <w:r>
        <w:rPr>
          <w:sz w:val="24"/>
          <w:szCs w:val="24"/>
        </w:rPr>
        <w:t xml:space="preserve"> the </w:t>
      </w:r>
      <w:r>
        <w:rPr>
          <w:sz w:val="24"/>
          <w:szCs w:val="24"/>
        </w:rPr>
        <w:lastRenderedPageBreak/>
        <w:t>mission.</w:t>
      </w:r>
      <w:r>
        <w:rPr>
          <w:sz w:val="24"/>
          <w:szCs w:val="24"/>
          <w:vertAlign w:val="superscript"/>
        </w:rPr>
        <w:footnoteReference w:id="194"/>
      </w:r>
      <w:r>
        <w:rPr>
          <w:sz w:val="24"/>
          <w:szCs w:val="24"/>
        </w:rPr>
        <w:t xml:space="preserve"> Thus, Remisia violated its obligations under Article </w:t>
      </w:r>
      <w:r w:rsidR="00B7224F">
        <w:rPr>
          <w:sz w:val="24"/>
          <w:szCs w:val="24"/>
        </w:rPr>
        <w:t xml:space="preserve">7 </w:t>
      </w:r>
      <w:r>
        <w:rPr>
          <w:sz w:val="24"/>
          <w:szCs w:val="24"/>
        </w:rPr>
        <w:t xml:space="preserve">of the CPI by not guaranteeing Dr. Malex’s privileges as an UN expert. </w:t>
      </w:r>
    </w:p>
    <w:p w14:paraId="488B61B4" w14:textId="208965B9" w:rsidR="008C2177" w:rsidRPr="00D75C64" w:rsidRDefault="00000000" w:rsidP="00015CF2">
      <w:pPr>
        <w:pStyle w:val="Ttulo4"/>
        <w:numPr>
          <w:ilvl w:val="0"/>
          <w:numId w:val="38"/>
        </w:numPr>
        <w:spacing w:line="480" w:lineRule="auto"/>
        <w:jc w:val="both"/>
        <w:rPr>
          <w:b w:val="0"/>
          <w:bCs/>
          <w:u w:val="single"/>
        </w:rPr>
      </w:pPr>
      <w:bookmarkStart w:id="47" w:name="_Toc155961588"/>
      <w:r w:rsidRPr="00D75C64">
        <w:rPr>
          <w:b w:val="0"/>
          <w:bCs/>
          <w:u w:val="single"/>
        </w:rPr>
        <w:t>Remisia violated Article 25 of the UN Charter</w:t>
      </w:r>
      <w:r w:rsidR="000B5DB7">
        <w:rPr>
          <w:b w:val="0"/>
          <w:bCs/>
          <w:u w:val="single"/>
        </w:rPr>
        <w:fldChar w:fldCharType="begin"/>
      </w:r>
      <w:r w:rsidR="000B5DB7">
        <w:rPr>
          <w:b w:val="0"/>
          <w:bCs/>
          <w:u w:val="single"/>
        </w:rPr>
        <w:instrText xml:space="preserve"> TA \s "UN Charter" </w:instrText>
      </w:r>
      <w:r w:rsidR="000B5DB7">
        <w:rPr>
          <w:b w:val="0"/>
          <w:bCs/>
          <w:u w:val="single"/>
        </w:rPr>
        <w:fldChar w:fldCharType="end"/>
      </w:r>
      <w:r w:rsidRPr="00D75C64">
        <w:rPr>
          <w:b w:val="0"/>
          <w:bCs/>
          <w:u w:val="single"/>
        </w:rPr>
        <w:t xml:space="preserve"> by not complying with the obligations imposed by Resolution 99997</w:t>
      </w:r>
      <w:bookmarkEnd w:id="47"/>
    </w:p>
    <w:p w14:paraId="5D000198" w14:textId="4CF1A655" w:rsidR="003B61B2" w:rsidRPr="00D75C64" w:rsidRDefault="00000000" w:rsidP="00015CF2">
      <w:pPr>
        <w:spacing w:before="240" w:line="480" w:lineRule="auto"/>
        <w:ind w:firstLine="720"/>
        <w:jc w:val="both"/>
        <w:rPr>
          <w:sz w:val="24"/>
          <w:szCs w:val="24"/>
          <w:highlight w:val="white"/>
        </w:rPr>
      </w:pPr>
      <w:r>
        <w:rPr>
          <w:sz w:val="24"/>
          <w:szCs w:val="24"/>
        </w:rPr>
        <w:t>Article 25 obliges the UN members to accept and carry out the UNSC decisions taken in its resolutions.</w:t>
      </w:r>
      <w:r>
        <w:rPr>
          <w:sz w:val="24"/>
          <w:szCs w:val="24"/>
          <w:vertAlign w:val="superscript"/>
        </w:rPr>
        <w:footnoteReference w:id="195"/>
      </w:r>
      <w:r>
        <w:rPr>
          <w:sz w:val="24"/>
          <w:szCs w:val="24"/>
          <w:vertAlign w:val="superscript"/>
        </w:rPr>
        <w:t xml:space="preserve"> </w:t>
      </w:r>
      <w:r w:rsidR="0034125A">
        <w:rPr>
          <w:sz w:val="24"/>
          <w:szCs w:val="24"/>
        </w:rPr>
        <w:t>Therefore</w:t>
      </w:r>
      <w:r>
        <w:rPr>
          <w:sz w:val="24"/>
          <w:szCs w:val="24"/>
          <w:highlight w:val="white"/>
        </w:rPr>
        <w:t>, Remisia</w:t>
      </w:r>
      <w:r w:rsidR="00B7224F">
        <w:rPr>
          <w:sz w:val="24"/>
          <w:szCs w:val="24"/>
          <w:highlight w:val="white"/>
        </w:rPr>
        <w:t>’</w:t>
      </w:r>
      <w:r>
        <w:rPr>
          <w:sz w:val="24"/>
          <w:szCs w:val="24"/>
          <w:highlight w:val="white"/>
        </w:rPr>
        <w:t>s denial of entry of Dr. Malex violated Article 25 of the UN Charter</w:t>
      </w:r>
      <w:r w:rsidR="000B5DB7">
        <w:rPr>
          <w:sz w:val="24"/>
          <w:szCs w:val="24"/>
          <w:highlight w:val="white"/>
        </w:rPr>
        <w:fldChar w:fldCharType="begin"/>
      </w:r>
      <w:r w:rsidR="000B5DB7">
        <w:rPr>
          <w:sz w:val="24"/>
          <w:szCs w:val="24"/>
          <w:highlight w:val="white"/>
        </w:rPr>
        <w:instrText xml:space="preserve"> TA \s "UN Charter" </w:instrText>
      </w:r>
      <w:r w:rsidR="000B5DB7">
        <w:rPr>
          <w:sz w:val="24"/>
          <w:szCs w:val="24"/>
          <w:highlight w:val="white"/>
        </w:rPr>
        <w:fldChar w:fldCharType="end"/>
      </w:r>
      <w:r>
        <w:rPr>
          <w:sz w:val="24"/>
          <w:szCs w:val="24"/>
          <w:highlight w:val="white"/>
        </w:rPr>
        <w:t xml:space="preserve"> since it is obliged to fully cooperate with the UNIMR in accordance with (</w:t>
      </w:r>
      <w:r>
        <w:rPr>
          <w:b/>
          <w:sz w:val="24"/>
          <w:szCs w:val="24"/>
          <w:highlight w:val="white"/>
        </w:rPr>
        <w:t>a</w:t>
      </w:r>
      <w:r>
        <w:rPr>
          <w:sz w:val="24"/>
          <w:szCs w:val="24"/>
          <w:highlight w:val="white"/>
        </w:rPr>
        <w:t>) the Charter’s provisions invoked under Resolution 99997 and (</w:t>
      </w:r>
      <w:r>
        <w:rPr>
          <w:b/>
          <w:sz w:val="24"/>
          <w:szCs w:val="24"/>
          <w:highlight w:val="white"/>
        </w:rPr>
        <w:t xml:space="preserve">b) </w:t>
      </w:r>
      <w:r>
        <w:rPr>
          <w:sz w:val="24"/>
          <w:szCs w:val="24"/>
          <w:highlight w:val="white"/>
        </w:rPr>
        <w:t>the Vienna Convention on the Law of Treaties (‘VCLT’) interpretation rules.</w:t>
      </w:r>
    </w:p>
    <w:p w14:paraId="1B1CADEE" w14:textId="77777777" w:rsidR="008C2177" w:rsidRPr="00D75C64" w:rsidRDefault="00000000" w:rsidP="00015CF2">
      <w:pPr>
        <w:pStyle w:val="Ttulo5"/>
        <w:numPr>
          <w:ilvl w:val="1"/>
          <w:numId w:val="39"/>
        </w:numPr>
        <w:spacing w:before="240" w:line="480" w:lineRule="auto"/>
        <w:jc w:val="both"/>
        <w:rPr>
          <w:b w:val="0"/>
          <w:bCs/>
          <w:i/>
          <w:iCs/>
          <w:sz w:val="24"/>
          <w:szCs w:val="24"/>
        </w:rPr>
      </w:pPr>
      <w:bookmarkStart w:id="48" w:name="_Toc155961589"/>
      <w:r w:rsidRPr="00D75C64">
        <w:rPr>
          <w:b w:val="0"/>
          <w:bCs/>
          <w:i/>
          <w:iCs/>
          <w:sz w:val="24"/>
          <w:szCs w:val="24"/>
        </w:rPr>
        <w:t>The Charter’s provisions invoked in Resolution 99997 obliges Remisia to cooperate with the UNIMR</w:t>
      </w:r>
      <w:bookmarkEnd w:id="48"/>
    </w:p>
    <w:p w14:paraId="364941CD" w14:textId="77777777" w:rsidR="008C2177" w:rsidRDefault="00000000" w:rsidP="00015CF2">
      <w:pPr>
        <w:spacing w:before="240" w:line="480" w:lineRule="auto"/>
        <w:ind w:firstLine="720"/>
        <w:jc w:val="both"/>
        <w:rPr>
          <w:sz w:val="24"/>
          <w:szCs w:val="24"/>
          <w:highlight w:val="white"/>
        </w:rPr>
      </w:pPr>
      <w:r>
        <w:rPr>
          <w:sz w:val="24"/>
          <w:szCs w:val="24"/>
          <w:highlight w:val="white"/>
        </w:rPr>
        <w:t>The Charter’s provisions invoked in UNSC resolutions determine their binding character.</w:t>
      </w:r>
      <w:r>
        <w:rPr>
          <w:sz w:val="24"/>
          <w:szCs w:val="24"/>
          <w:vertAlign w:val="superscript"/>
        </w:rPr>
        <w:footnoteReference w:id="196"/>
      </w:r>
      <w:r>
        <w:rPr>
          <w:sz w:val="24"/>
          <w:szCs w:val="24"/>
        </w:rPr>
        <w:t xml:space="preserve"> UNSC </w:t>
      </w:r>
      <w:r>
        <w:rPr>
          <w:sz w:val="24"/>
          <w:szCs w:val="24"/>
          <w:highlight w:val="white"/>
        </w:rPr>
        <w:t>enforcement measures apply to all decisions adopted in accordance with Article 25 of the Charter, including those based under Chapter VI concerning the pacific settlement of disputes.</w:t>
      </w:r>
      <w:r>
        <w:rPr>
          <w:sz w:val="24"/>
          <w:szCs w:val="24"/>
          <w:highlight w:val="white"/>
          <w:vertAlign w:val="superscript"/>
        </w:rPr>
        <w:footnoteReference w:id="197"/>
      </w:r>
      <w:r>
        <w:rPr>
          <w:sz w:val="24"/>
          <w:szCs w:val="24"/>
          <w:highlight w:val="white"/>
        </w:rPr>
        <w:t xml:space="preserve"> Accordingly, </w:t>
      </w:r>
      <w:r>
        <w:rPr>
          <w:sz w:val="24"/>
          <w:szCs w:val="24"/>
        </w:rPr>
        <w:t xml:space="preserve">Article 34 </w:t>
      </w:r>
      <w:r>
        <w:rPr>
          <w:sz w:val="24"/>
          <w:szCs w:val="24"/>
          <w:highlight w:val="white"/>
        </w:rPr>
        <w:t xml:space="preserve">empowers the UNSC to investigate any </w:t>
      </w:r>
      <w:r>
        <w:rPr>
          <w:sz w:val="24"/>
          <w:szCs w:val="24"/>
          <w:highlight w:val="white"/>
        </w:rPr>
        <w:lastRenderedPageBreak/>
        <w:t>situation which might lead to international friction or give rise to a dispute.</w:t>
      </w:r>
      <w:r>
        <w:rPr>
          <w:sz w:val="24"/>
          <w:szCs w:val="24"/>
          <w:highlight w:val="white"/>
          <w:vertAlign w:val="superscript"/>
        </w:rPr>
        <w:footnoteReference w:id="198"/>
      </w:r>
      <w:r>
        <w:rPr>
          <w:sz w:val="24"/>
          <w:szCs w:val="24"/>
          <w:highlight w:val="white"/>
        </w:rPr>
        <w:tab/>
      </w:r>
    </w:p>
    <w:p w14:paraId="336E341C" w14:textId="3B31E4C9" w:rsidR="008C2177" w:rsidRDefault="00000000" w:rsidP="00015CF2">
      <w:pPr>
        <w:spacing w:before="240" w:line="480" w:lineRule="auto"/>
        <w:ind w:firstLine="720"/>
        <w:jc w:val="both"/>
        <w:rPr>
          <w:sz w:val="24"/>
          <w:szCs w:val="24"/>
          <w:highlight w:val="white"/>
        </w:rPr>
      </w:pPr>
      <w:r>
        <w:rPr>
          <w:sz w:val="24"/>
          <w:szCs w:val="24"/>
          <w:highlight w:val="white"/>
        </w:rPr>
        <w:t>The UNSC decided to establish the UNIMR acting under the powers conferred by Chapter VI.</w:t>
      </w:r>
      <w:r>
        <w:rPr>
          <w:sz w:val="24"/>
          <w:szCs w:val="24"/>
          <w:vertAlign w:val="superscript"/>
        </w:rPr>
        <w:footnoteReference w:id="199"/>
      </w:r>
      <w:r>
        <w:rPr>
          <w:sz w:val="24"/>
          <w:szCs w:val="24"/>
          <w:vertAlign w:val="superscript"/>
        </w:rPr>
        <w:t xml:space="preserve"> </w:t>
      </w:r>
      <w:r>
        <w:rPr>
          <w:sz w:val="24"/>
          <w:szCs w:val="24"/>
        </w:rPr>
        <w:t xml:space="preserve">In this regard, Resolution 99997 was adopted in accordance with the functions assigned to the UNSC in </w:t>
      </w:r>
      <w:r>
        <w:rPr>
          <w:sz w:val="24"/>
          <w:szCs w:val="24"/>
          <w:highlight w:val="white"/>
        </w:rPr>
        <w:t>Article 34.</w:t>
      </w:r>
      <w:r>
        <w:rPr>
          <w:sz w:val="24"/>
          <w:szCs w:val="24"/>
          <w:highlight w:val="white"/>
          <w:vertAlign w:val="superscript"/>
        </w:rPr>
        <w:footnoteReference w:id="200"/>
      </w:r>
      <w:r>
        <w:rPr>
          <w:sz w:val="24"/>
          <w:szCs w:val="24"/>
          <w:highlight w:val="white"/>
        </w:rPr>
        <w:t xml:space="preserve"> Remisia must respect this resolution</w:t>
      </w:r>
      <w:r w:rsidR="00B7224F">
        <w:rPr>
          <w:sz w:val="24"/>
          <w:szCs w:val="24"/>
          <w:highlight w:val="white"/>
        </w:rPr>
        <w:t xml:space="preserve"> as a UN member</w:t>
      </w:r>
      <w:r>
        <w:rPr>
          <w:sz w:val="24"/>
          <w:szCs w:val="24"/>
          <w:highlight w:val="white"/>
        </w:rPr>
        <w:t xml:space="preserve">, which requires allowing the UNSC to investigate the situation concerning the Sterren Forty as a necessary step to determine the existence of an international dispute which might endanger the maintenance of peace and security. </w:t>
      </w:r>
    </w:p>
    <w:p w14:paraId="07144692" w14:textId="12DE6C8B" w:rsidR="003B61B2" w:rsidRDefault="00000000" w:rsidP="00015CF2">
      <w:pPr>
        <w:spacing w:before="240" w:line="480" w:lineRule="auto"/>
        <w:jc w:val="both"/>
        <w:rPr>
          <w:sz w:val="24"/>
          <w:szCs w:val="24"/>
          <w:highlight w:val="white"/>
        </w:rPr>
      </w:pPr>
      <w:r>
        <w:rPr>
          <w:sz w:val="24"/>
          <w:szCs w:val="24"/>
          <w:highlight w:val="white"/>
        </w:rPr>
        <w:tab/>
        <w:t>Thereby, the Charter’s provisions invoked in Resolution 99997 obliges Remisia to cooperate with the UNIMR</w:t>
      </w:r>
      <w:r w:rsidR="00B7224F">
        <w:rPr>
          <w:sz w:val="24"/>
          <w:szCs w:val="24"/>
          <w:highlight w:val="white"/>
        </w:rPr>
        <w:t xml:space="preserve"> by allowing the entry of Dr. Malex</w:t>
      </w:r>
      <w:r>
        <w:rPr>
          <w:sz w:val="24"/>
          <w:szCs w:val="24"/>
          <w:highlight w:val="white"/>
        </w:rPr>
        <w:t xml:space="preserve">. </w:t>
      </w:r>
    </w:p>
    <w:p w14:paraId="7E903BAF" w14:textId="45342135" w:rsidR="008C2177" w:rsidRPr="00D75C64" w:rsidRDefault="00000000" w:rsidP="00015CF2">
      <w:pPr>
        <w:pStyle w:val="Ttulo5"/>
        <w:numPr>
          <w:ilvl w:val="1"/>
          <w:numId w:val="39"/>
        </w:numPr>
        <w:spacing w:before="240" w:line="480" w:lineRule="auto"/>
        <w:jc w:val="both"/>
        <w:rPr>
          <w:b w:val="0"/>
          <w:bCs/>
          <w:i/>
          <w:iCs/>
          <w:sz w:val="24"/>
          <w:szCs w:val="24"/>
        </w:rPr>
      </w:pPr>
      <w:bookmarkStart w:id="49" w:name="_Toc155961590"/>
      <w:r w:rsidRPr="00D75C64">
        <w:rPr>
          <w:b w:val="0"/>
          <w:bCs/>
          <w:i/>
          <w:iCs/>
          <w:sz w:val="24"/>
          <w:szCs w:val="24"/>
        </w:rPr>
        <w:t>Resolution 99997 obliges Remisia to cooperate with the UNIMR in accordance with the VCLT interpretation rules</w:t>
      </w:r>
      <w:bookmarkEnd w:id="49"/>
    </w:p>
    <w:p w14:paraId="7E4EB523" w14:textId="7BEABF19" w:rsidR="008C2177" w:rsidRDefault="00000000" w:rsidP="00015CF2">
      <w:pPr>
        <w:spacing w:before="240" w:line="480" w:lineRule="auto"/>
        <w:ind w:firstLine="720"/>
        <w:jc w:val="both"/>
        <w:rPr>
          <w:sz w:val="24"/>
          <w:szCs w:val="24"/>
        </w:rPr>
      </w:pPr>
      <w:r>
        <w:rPr>
          <w:sz w:val="24"/>
          <w:szCs w:val="24"/>
        </w:rPr>
        <w:t xml:space="preserve">In </w:t>
      </w:r>
      <w:r>
        <w:rPr>
          <w:i/>
          <w:sz w:val="24"/>
          <w:szCs w:val="24"/>
        </w:rPr>
        <w:t>Kosovo</w:t>
      </w:r>
      <w:r w:rsidR="00F969B2">
        <w:rPr>
          <w:i/>
          <w:sz w:val="24"/>
          <w:szCs w:val="24"/>
        </w:rPr>
        <w:fldChar w:fldCharType="begin"/>
      </w:r>
      <w:r w:rsidR="00F969B2">
        <w:instrText xml:space="preserve"> TA \l "</w:instrText>
      </w:r>
      <w:r w:rsidR="00F969B2" w:rsidRPr="008A513D">
        <w:rPr>
          <w:i/>
          <w:sz w:val="24"/>
          <w:szCs w:val="24"/>
        </w:rPr>
        <w:instrText xml:space="preserve">Accordance With International Law of the Unilateral Declaration of Independence in Respect of Kosovo </w:instrText>
      </w:r>
      <w:r w:rsidR="00F969B2" w:rsidRPr="008A513D">
        <w:rPr>
          <w:sz w:val="24"/>
          <w:szCs w:val="24"/>
        </w:rPr>
        <w:instrText>(Advisory Opinion) [2010] [‘</w:instrText>
      </w:r>
      <w:r w:rsidR="00F969B2" w:rsidRPr="008A513D">
        <w:rPr>
          <w:i/>
          <w:sz w:val="24"/>
          <w:szCs w:val="24"/>
        </w:rPr>
        <w:instrText>Kosovo Advisory Opinion’</w:instrText>
      </w:r>
      <w:r w:rsidR="00F969B2" w:rsidRPr="008A513D">
        <w:rPr>
          <w:sz w:val="24"/>
          <w:szCs w:val="24"/>
        </w:rPr>
        <w:instrText>] ICJ Rep 442</w:instrText>
      </w:r>
      <w:r w:rsidR="00F969B2">
        <w:instrText xml:space="preserve">" \s "Kosovo Advisory Opinion" \c 1 </w:instrText>
      </w:r>
      <w:r w:rsidR="00F969B2">
        <w:rPr>
          <w:i/>
          <w:sz w:val="24"/>
          <w:szCs w:val="24"/>
        </w:rPr>
        <w:fldChar w:fldCharType="end"/>
      </w:r>
      <w:r>
        <w:rPr>
          <w:i/>
          <w:sz w:val="24"/>
          <w:szCs w:val="24"/>
        </w:rPr>
        <w:t xml:space="preserve">, </w:t>
      </w:r>
      <w:r>
        <w:rPr>
          <w:sz w:val="24"/>
          <w:szCs w:val="24"/>
        </w:rPr>
        <w:t>this Court established that VCLT rules can be used to interpret UNSC resolutions.</w:t>
      </w:r>
      <w:r>
        <w:rPr>
          <w:sz w:val="24"/>
          <w:szCs w:val="24"/>
          <w:vertAlign w:val="superscript"/>
        </w:rPr>
        <w:footnoteReference w:id="201"/>
      </w:r>
      <w:r>
        <w:rPr>
          <w:sz w:val="24"/>
          <w:szCs w:val="24"/>
        </w:rPr>
        <w:t xml:space="preserve"> In this sense, Remisia is obliged to allow the entry of Dr. Malex and cooperate with UNIMR as per </w:t>
      </w:r>
      <w:r>
        <w:rPr>
          <w:b/>
          <w:sz w:val="24"/>
          <w:szCs w:val="24"/>
        </w:rPr>
        <w:t xml:space="preserve">(i) </w:t>
      </w:r>
      <w:r>
        <w:rPr>
          <w:sz w:val="24"/>
          <w:szCs w:val="24"/>
        </w:rPr>
        <w:t xml:space="preserve">the ordinary meaning of the operative verbs employed, </w:t>
      </w:r>
      <w:r>
        <w:rPr>
          <w:b/>
          <w:sz w:val="24"/>
          <w:szCs w:val="24"/>
        </w:rPr>
        <w:t>(ii)</w:t>
      </w:r>
      <w:r>
        <w:rPr>
          <w:sz w:val="24"/>
          <w:szCs w:val="24"/>
        </w:rPr>
        <w:t xml:space="preserve"> the object and </w:t>
      </w:r>
      <w:r>
        <w:rPr>
          <w:sz w:val="24"/>
          <w:szCs w:val="24"/>
        </w:rPr>
        <w:lastRenderedPageBreak/>
        <w:t>purpose</w:t>
      </w:r>
      <w:r w:rsidR="00811A68">
        <w:rPr>
          <w:sz w:val="24"/>
          <w:szCs w:val="24"/>
        </w:rPr>
        <w:t>,</w:t>
      </w:r>
      <w:r w:rsidR="00811A68">
        <w:rPr>
          <w:sz w:val="24"/>
          <w:szCs w:val="24"/>
          <w:vertAlign w:val="superscript"/>
        </w:rPr>
        <w:footnoteReference w:id="202"/>
      </w:r>
      <w:r w:rsidR="00811A68">
        <w:rPr>
          <w:sz w:val="24"/>
          <w:szCs w:val="24"/>
        </w:rPr>
        <w:t xml:space="preserve"> </w:t>
      </w:r>
      <w:r>
        <w:rPr>
          <w:sz w:val="24"/>
          <w:szCs w:val="24"/>
        </w:rPr>
        <w:t xml:space="preserve"> and </w:t>
      </w:r>
      <w:r>
        <w:rPr>
          <w:b/>
          <w:sz w:val="24"/>
          <w:szCs w:val="24"/>
        </w:rPr>
        <w:t xml:space="preserve">(iii) </w:t>
      </w:r>
      <w:r>
        <w:rPr>
          <w:sz w:val="24"/>
          <w:szCs w:val="24"/>
        </w:rPr>
        <w:t>the subsequent practice of Resolution 99997.</w:t>
      </w:r>
      <w:r>
        <w:rPr>
          <w:sz w:val="24"/>
          <w:szCs w:val="24"/>
          <w:vertAlign w:val="superscript"/>
        </w:rPr>
        <w:footnoteReference w:id="203"/>
      </w:r>
    </w:p>
    <w:p w14:paraId="2C87F6A1" w14:textId="6388BAB5" w:rsidR="008C2177" w:rsidRPr="00D75C64" w:rsidRDefault="00000000" w:rsidP="00015CF2">
      <w:pPr>
        <w:pStyle w:val="Ttulo6"/>
        <w:numPr>
          <w:ilvl w:val="2"/>
          <w:numId w:val="39"/>
        </w:numPr>
        <w:spacing w:before="240" w:line="480" w:lineRule="auto"/>
        <w:jc w:val="both"/>
        <w:rPr>
          <w:sz w:val="24"/>
          <w:szCs w:val="24"/>
          <w:highlight w:val="white"/>
        </w:rPr>
      </w:pPr>
      <w:bookmarkStart w:id="50" w:name="_Toc155961591"/>
      <w:r w:rsidRPr="00D75C64">
        <w:rPr>
          <w:sz w:val="24"/>
          <w:szCs w:val="24"/>
        </w:rPr>
        <w:t xml:space="preserve">The ordinary meaning of the operative verb </w:t>
      </w:r>
      <w:r w:rsidR="00561496">
        <w:rPr>
          <w:sz w:val="24"/>
          <w:szCs w:val="24"/>
        </w:rPr>
        <w:t>‘</w:t>
      </w:r>
      <w:r w:rsidR="00561496" w:rsidRPr="00561496">
        <w:rPr>
          <w:i/>
          <w:iCs/>
          <w:sz w:val="24"/>
          <w:szCs w:val="24"/>
        </w:rPr>
        <w:t>Call upon</w:t>
      </w:r>
      <w:r w:rsidR="00561496">
        <w:rPr>
          <w:sz w:val="24"/>
          <w:szCs w:val="24"/>
        </w:rPr>
        <w:t xml:space="preserve">’ </w:t>
      </w:r>
      <w:r w:rsidRPr="00D75C64">
        <w:rPr>
          <w:sz w:val="24"/>
          <w:szCs w:val="24"/>
        </w:rPr>
        <w:t>in Resolution 99997 obliges Remisia to cooperate with the UNIMR</w:t>
      </w:r>
      <w:bookmarkEnd w:id="50"/>
    </w:p>
    <w:p w14:paraId="770D3C27" w14:textId="70154687" w:rsidR="008C2177" w:rsidRDefault="00000000" w:rsidP="00015CF2">
      <w:pPr>
        <w:widowControl/>
        <w:shd w:val="clear" w:color="auto" w:fill="FFFFFF"/>
        <w:spacing w:before="240" w:after="200" w:line="480" w:lineRule="auto"/>
        <w:ind w:firstLine="720"/>
        <w:jc w:val="both"/>
        <w:rPr>
          <w:sz w:val="24"/>
          <w:szCs w:val="24"/>
        </w:rPr>
      </w:pPr>
      <w:r>
        <w:rPr>
          <w:sz w:val="24"/>
          <w:szCs w:val="24"/>
        </w:rPr>
        <w:t>The ordinary meaning of the operative verb is frequently used to determine the binding nature of Resolutions.</w:t>
      </w:r>
      <w:r>
        <w:rPr>
          <w:sz w:val="24"/>
          <w:szCs w:val="24"/>
          <w:vertAlign w:val="superscript"/>
        </w:rPr>
        <w:footnoteReference w:id="204"/>
      </w:r>
      <w:r>
        <w:rPr>
          <w:sz w:val="24"/>
          <w:szCs w:val="24"/>
          <w:highlight w:val="white"/>
        </w:rPr>
        <w:t xml:space="preserve"> </w:t>
      </w:r>
      <w:r>
        <w:rPr>
          <w:sz w:val="24"/>
          <w:szCs w:val="24"/>
        </w:rPr>
        <w:t>‘</w:t>
      </w:r>
      <w:r>
        <w:rPr>
          <w:i/>
          <w:sz w:val="24"/>
          <w:szCs w:val="24"/>
        </w:rPr>
        <w:t>Call upon</w:t>
      </w:r>
      <w:r>
        <w:rPr>
          <w:sz w:val="24"/>
          <w:szCs w:val="24"/>
        </w:rPr>
        <w:t>’ means ‘to order or require’.</w:t>
      </w:r>
      <w:r>
        <w:rPr>
          <w:sz w:val="24"/>
          <w:szCs w:val="24"/>
          <w:vertAlign w:val="superscript"/>
        </w:rPr>
        <w:footnoteReference w:id="205"/>
      </w:r>
      <w:r>
        <w:rPr>
          <w:sz w:val="24"/>
          <w:szCs w:val="24"/>
        </w:rPr>
        <w:t xml:space="preserve"> </w:t>
      </w:r>
      <w:r>
        <w:rPr>
          <w:sz w:val="24"/>
          <w:szCs w:val="24"/>
          <w:highlight w:val="white"/>
        </w:rPr>
        <w:t xml:space="preserve">In </w:t>
      </w:r>
      <w:r>
        <w:rPr>
          <w:i/>
          <w:sz w:val="24"/>
          <w:szCs w:val="24"/>
          <w:highlight w:val="white"/>
        </w:rPr>
        <w:t>Namibia</w:t>
      </w:r>
      <w:r w:rsidR="00561496">
        <w:rPr>
          <w:i/>
          <w:sz w:val="24"/>
          <w:szCs w:val="24"/>
          <w:highlight w:val="white"/>
        </w:rPr>
        <w:t xml:space="preserve"> </w:t>
      </w:r>
      <w:r w:rsidR="003879D5">
        <w:rPr>
          <w:i/>
          <w:sz w:val="24"/>
          <w:szCs w:val="24"/>
          <w:highlight w:val="white"/>
        </w:rPr>
        <w:fldChar w:fldCharType="begin"/>
      </w:r>
      <w:r w:rsidR="003879D5">
        <w:instrText xml:space="preserve"> TA \s "Namibia Advisory Opinion" </w:instrText>
      </w:r>
      <w:r w:rsidR="003879D5">
        <w:rPr>
          <w:i/>
          <w:sz w:val="24"/>
          <w:szCs w:val="24"/>
          <w:highlight w:val="white"/>
        </w:rPr>
        <w:fldChar w:fldCharType="end"/>
      </w:r>
      <w:r>
        <w:rPr>
          <w:sz w:val="24"/>
          <w:szCs w:val="24"/>
          <w:highlight w:val="white"/>
        </w:rPr>
        <w:t>, this Court ruled that when the UNSC employed the operative verb ‘</w:t>
      </w:r>
      <w:r>
        <w:rPr>
          <w:i/>
          <w:sz w:val="24"/>
          <w:szCs w:val="24"/>
          <w:highlight w:val="white"/>
        </w:rPr>
        <w:t>Call upon</w:t>
      </w:r>
      <w:r>
        <w:rPr>
          <w:sz w:val="24"/>
          <w:szCs w:val="24"/>
          <w:highlight w:val="white"/>
        </w:rPr>
        <w:t>’ in Resolution 276 of 1970,  it was imposing the obligation towards South Africa to withdraw immediately from Namibia.</w:t>
      </w:r>
      <w:r>
        <w:rPr>
          <w:sz w:val="24"/>
          <w:szCs w:val="24"/>
          <w:vertAlign w:val="superscript"/>
        </w:rPr>
        <w:footnoteReference w:id="206"/>
      </w:r>
      <w:r>
        <w:rPr>
          <w:sz w:val="24"/>
          <w:szCs w:val="24"/>
          <w:vertAlign w:val="superscript"/>
        </w:rPr>
        <w:t xml:space="preserve"> </w:t>
      </w:r>
      <w:r>
        <w:rPr>
          <w:sz w:val="24"/>
          <w:szCs w:val="24"/>
        </w:rPr>
        <w:t>In Resolution 99997, the UNSC called upon Remisia to cooperate fully with the mission, including by providing relevant evidence</w:t>
      </w:r>
      <w:r w:rsidR="00561496">
        <w:rPr>
          <w:sz w:val="24"/>
          <w:szCs w:val="24"/>
        </w:rPr>
        <w:t xml:space="preserve"> such as ‘in-person interviews’</w:t>
      </w:r>
      <w:r>
        <w:rPr>
          <w:sz w:val="24"/>
          <w:szCs w:val="24"/>
        </w:rPr>
        <w:t>.</w:t>
      </w:r>
      <w:r>
        <w:rPr>
          <w:sz w:val="24"/>
          <w:szCs w:val="24"/>
          <w:vertAlign w:val="superscript"/>
        </w:rPr>
        <w:footnoteReference w:id="207"/>
      </w:r>
      <w:r>
        <w:rPr>
          <w:sz w:val="24"/>
          <w:szCs w:val="24"/>
        </w:rPr>
        <w:t xml:space="preserve"> Thus, the ordinary meaning of the operative verb employed in Resolution 99997 obliges Remisia to cooperate with UNIMR</w:t>
      </w:r>
      <w:r w:rsidR="00561496">
        <w:rPr>
          <w:sz w:val="24"/>
          <w:szCs w:val="24"/>
        </w:rPr>
        <w:t xml:space="preserve"> and allowed Dr. Malex to meet the Sterren Forty</w:t>
      </w:r>
      <w:r>
        <w:rPr>
          <w:sz w:val="24"/>
          <w:szCs w:val="24"/>
        </w:rPr>
        <w:t>.</w:t>
      </w:r>
    </w:p>
    <w:p w14:paraId="51C990D0" w14:textId="047E65A6" w:rsidR="008C2177" w:rsidRPr="00D75C64" w:rsidRDefault="00000000" w:rsidP="00015CF2">
      <w:pPr>
        <w:pStyle w:val="Ttulo6"/>
        <w:numPr>
          <w:ilvl w:val="2"/>
          <w:numId w:val="39"/>
        </w:numPr>
        <w:spacing w:before="240" w:line="480" w:lineRule="auto"/>
        <w:jc w:val="both"/>
        <w:rPr>
          <w:sz w:val="24"/>
          <w:szCs w:val="24"/>
        </w:rPr>
      </w:pPr>
      <w:bookmarkStart w:id="51" w:name="_Toc155961592"/>
      <w:r>
        <w:rPr>
          <w:sz w:val="24"/>
          <w:szCs w:val="24"/>
        </w:rPr>
        <w:lastRenderedPageBreak/>
        <w:t>The object and purpose of the Resolution 99997 obliges Remisia to cooperate with</w:t>
      </w:r>
      <w:r w:rsidR="0055175A">
        <w:rPr>
          <w:sz w:val="24"/>
          <w:szCs w:val="24"/>
        </w:rPr>
        <w:t xml:space="preserve"> the</w:t>
      </w:r>
      <w:r>
        <w:rPr>
          <w:sz w:val="24"/>
          <w:szCs w:val="24"/>
        </w:rPr>
        <w:t xml:space="preserve"> UNIMR</w:t>
      </w:r>
      <w:bookmarkEnd w:id="51"/>
    </w:p>
    <w:p w14:paraId="3CC56417" w14:textId="56F38806" w:rsidR="008C2177" w:rsidRDefault="00000000" w:rsidP="00015CF2">
      <w:pPr>
        <w:widowControl/>
        <w:shd w:val="clear" w:color="auto" w:fill="FFFFFF"/>
        <w:spacing w:before="240" w:after="200" w:line="480" w:lineRule="auto"/>
        <w:ind w:firstLine="720"/>
        <w:jc w:val="both"/>
        <w:rPr>
          <w:sz w:val="24"/>
          <w:szCs w:val="24"/>
        </w:rPr>
      </w:pPr>
      <w:r>
        <w:rPr>
          <w:sz w:val="24"/>
          <w:szCs w:val="24"/>
        </w:rPr>
        <w:t>The object and purpose</w:t>
      </w:r>
      <w:r>
        <w:rPr>
          <w:sz w:val="24"/>
          <w:szCs w:val="24"/>
          <w:vertAlign w:val="superscript"/>
        </w:rPr>
        <w:footnoteReference w:id="208"/>
      </w:r>
      <w:r>
        <w:rPr>
          <w:sz w:val="24"/>
          <w:szCs w:val="24"/>
        </w:rPr>
        <w:t xml:space="preserve"> of UNSC Resolutions can be depicted from its preamble, which often summarizes the original will of its drafters.</w:t>
      </w:r>
      <w:r>
        <w:rPr>
          <w:sz w:val="24"/>
          <w:szCs w:val="24"/>
          <w:vertAlign w:val="superscript"/>
        </w:rPr>
        <w:footnoteReference w:id="209"/>
      </w:r>
      <w:r>
        <w:rPr>
          <w:sz w:val="24"/>
          <w:szCs w:val="24"/>
        </w:rPr>
        <w:t xml:space="preserve"> The preamble of Resolution 99997 establishes that revoking nationality as a criminal sanction contributes to statelessness,</w:t>
      </w:r>
      <w:r>
        <w:rPr>
          <w:sz w:val="24"/>
          <w:szCs w:val="24"/>
          <w:vertAlign w:val="superscript"/>
        </w:rPr>
        <w:footnoteReference w:id="210"/>
      </w:r>
      <w:r>
        <w:rPr>
          <w:sz w:val="24"/>
          <w:szCs w:val="24"/>
        </w:rPr>
        <w:t xml:space="preserve"> and commended the efforts of Antrano to defend the right of nationality of all persons.</w:t>
      </w:r>
      <w:r>
        <w:rPr>
          <w:sz w:val="24"/>
          <w:szCs w:val="24"/>
          <w:vertAlign w:val="superscript"/>
        </w:rPr>
        <w:footnoteReference w:id="211"/>
      </w:r>
      <w:r>
        <w:rPr>
          <w:sz w:val="24"/>
          <w:szCs w:val="24"/>
        </w:rPr>
        <w:t xml:space="preserve"> In turn, it recalls both the resolutions of the UN General Assembly and the principles of the CRS and CSP, international treaties concerning the fight against statelessness.</w:t>
      </w:r>
      <w:r>
        <w:rPr>
          <w:sz w:val="24"/>
          <w:szCs w:val="24"/>
          <w:vertAlign w:val="superscript"/>
        </w:rPr>
        <w:footnoteReference w:id="212"/>
      </w:r>
      <w:r>
        <w:rPr>
          <w:sz w:val="24"/>
          <w:szCs w:val="24"/>
        </w:rPr>
        <w:t xml:space="preserve"> </w:t>
      </w:r>
    </w:p>
    <w:p w14:paraId="5FBF1BCB" w14:textId="4FE386DA" w:rsidR="003B61B2" w:rsidRDefault="00000000" w:rsidP="00015CF2">
      <w:pPr>
        <w:widowControl/>
        <w:shd w:val="clear" w:color="auto" w:fill="FFFFFF"/>
        <w:spacing w:before="240" w:after="200" w:line="480" w:lineRule="auto"/>
        <w:ind w:firstLine="720"/>
        <w:jc w:val="both"/>
        <w:rPr>
          <w:b/>
          <w:sz w:val="24"/>
          <w:szCs w:val="24"/>
        </w:rPr>
      </w:pPr>
      <w:r>
        <w:rPr>
          <w:sz w:val="24"/>
          <w:szCs w:val="24"/>
        </w:rPr>
        <w:t>Given the concern of the UNSC on the issue of statelessness as noted in Resolution 99997 preamble, being its object and purpose to investigate the Sterren Forty’s deprivation of nationality, Remisia is compelled to cooperate with UNIMR.</w:t>
      </w:r>
    </w:p>
    <w:p w14:paraId="6593B850" w14:textId="54B7D7F2" w:rsidR="008C2177" w:rsidRPr="00D75C64" w:rsidRDefault="00000000" w:rsidP="00015CF2">
      <w:pPr>
        <w:pStyle w:val="Ttulo6"/>
        <w:numPr>
          <w:ilvl w:val="2"/>
          <w:numId w:val="39"/>
        </w:numPr>
        <w:spacing w:before="240" w:line="480" w:lineRule="auto"/>
        <w:jc w:val="both"/>
        <w:rPr>
          <w:sz w:val="24"/>
          <w:szCs w:val="24"/>
        </w:rPr>
      </w:pPr>
      <w:bookmarkStart w:id="52" w:name="_Toc155961593"/>
      <w:r>
        <w:rPr>
          <w:sz w:val="24"/>
          <w:szCs w:val="24"/>
        </w:rPr>
        <w:t>The practice subsequent to the adoption of Resolution 99997 obliges Remisia to cooperate with the UNIMR</w:t>
      </w:r>
      <w:bookmarkEnd w:id="52"/>
    </w:p>
    <w:p w14:paraId="6F12C66D" w14:textId="2B950B0C" w:rsidR="008C2177" w:rsidRDefault="00000000" w:rsidP="001347F6">
      <w:pPr>
        <w:widowControl/>
        <w:spacing w:before="240" w:after="240" w:line="480" w:lineRule="auto"/>
        <w:jc w:val="both"/>
        <w:rPr>
          <w:sz w:val="24"/>
          <w:szCs w:val="24"/>
          <w:highlight w:val="white"/>
        </w:rPr>
      </w:pPr>
      <w:r>
        <w:rPr>
          <w:sz w:val="24"/>
          <w:szCs w:val="24"/>
        </w:rPr>
        <w:tab/>
      </w:r>
      <w:r>
        <w:rPr>
          <w:sz w:val="24"/>
          <w:szCs w:val="24"/>
          <w:highlight w:val="white"/>
        </w:rPr>
        <w:t>Interpretation of UNSC resolutions requires analyzing the subsequent practice after its adoption.</w:t>
      </w:r>
      <w:r>
        <w:rPr>
          <w:sz w:val="24"/>
          <w:szCs w:val="24"/>
          <w:highlight w:val="white"/>
          <w:vertAlign w:val="superscript"/>
        </w:rPr>
        <w:footnoteReference w:id="213"/>
      </w:r>
      <w:r>
        <w:rPr>
          <w:sz w:val="24"/>
          <w:szCs w:val="24"/>
          <w:highlight w:val="white"/>
        </w:rPr>
        <w:t xml:space="preserve"> The practice of </w:t>
      </w:r>
      <w:r>
        <w:rPr>
          <w:sz w:val="24"/>
          <w:szCs w:val="24"/>
        </w:rPr>
        <w:t>States affected by those resolutions,</w:t>
      </w:r>
      <w:r>
        <w:rPr>
          <w:sz w:val="24"/>
          <w:szCs w:val="24"/>
          <w:highlight w:val="white"/>
        </w:rPr>
        <w:t xml:space="preserve"> relevant UN organs</w:t>
      </w:r>
      <w:r>
        <w:rPr>
          <w:sz w:val="24"/>
          <w:szCs w:val="24"/>
        </w:rPr>
        <w:t xml:space="preserve">, </w:t>
      </w:r>
      <w:r>
        <w:rPr>
          <w:sz w:val="24"/>
          <w:szCs w:val="24"/>
          <w:highlight w:val="white"/>
        </w:rPr>
        <w:t xml:space="preserve">statements </w:t>
      </w:r>
      <w:r>
        <w:rPr>
          <w:sz w:val="24"/>
          <w:szCs w:val="24"/>
          <w:highlight w:val="white"/>
        </w:rPr>
        <w:lastRenderedPageBreak/>
        <w:t>made from the president of the Security Council</w:t>
      </w:r>
      <w:r>
        <w:rPr>
          <w:sz w:val="24"/>
          <w:szCs w:val="24"/>
          <w:highlight w:val="white"/>
          <w:vertAlign w:val="superscript"/>
        </w:rPr>
        <w:footnoteReference w:id="214"/>
      </w:r>
      <w:r>
        <w:rPr>
          <w:sz w:val="24"/>
          <w:szCs w:val="24"/>
          <w:highlight w:val="white"/>
        </w:rPr>
        <w:t xml:space="preserve"> and </w:t>
      </w:r>
      <w:r w:rsidR="00B875F6">
        <w:rPr>
          <w:sz w:val="24"/>
          <w:szCs w:val="24"/>
          <w:highlight w:val="white"/>
        </w:rPr>
        <w:t xml:space="preserve">their </w:t>
      </w:r>
      <w:r>
        <w:rPr>
          <w:sz w:val="24"/>
          <w:szCs w:val="24"/>
          <w:highlight w:val="white"/>
        </w:rPr>
        <w:t>members,</w:t>
      </w:r>
      <w:r>
        <w:rPr>
          <w:sz w:val="24"/>
          <w:szCs w:val="24"/>
          <w:highlight w:val="white"/>
          <w:vertAlign w:val="superscript"/>
        </w:rPr>
        <w:footnoteReference w:id="215"/>
      </w:r>
      <w:r>
        <w:rPr>
          <w:sz w:val="24"/>
          <w:szCs w:val="24"/>
          <w:highlight w:val="white"/>
          <w:vertAlign w:val="superscript"/>
        </w:rPr>
        <w:t xml:space="preserve"> </w:t>
      </w:r>
      <w:r>
        <w:rPr>
          <w:sz w:val="24"/>
          <w:szCs w:val="24"/>
          <w:highlight w:val="white"/>
        </w:rPr>
        <w:t>can determine the binding nature of a resolution.</w:t>
      </w:r>
      <w:r>
        <w:rPr>
          <w:sz w:val="24"/>
          <w:szCs w:val="24"/>
          <w:highlight w:val="white"/>
          <w:vertAlign w:val="superscript"/>
        </w:rPr>
        <w:footnoteReference w:id="216"/>
      </w:r>
    </w:p>
    <w:p w14:paraId="3E533CFB" w14:textId="4B6127D9" w:rsidR="008C2177" w:rsidRDefault="00000000" w:rsidP="001347F6">
      <w:pPr>
        <w:widowControl/>
        <w:spacing w:before="240" w:line="480" w:lineRule="auto"/>
        <w:ind w:firstLine="720"/>
        <w:jc w:val="both"/>
        <w:rPr>
          <w:sz w:val="24"/>
          <w:szCs w:val="24"/>
        </w:rPr>
      </w:pPr>
      <w:bookmarkStart w:id="53" w:name="_heading=h.gjdgxs" w:colFirst="0" w:colLast="0"/>
      <w:bookmarkEnd w:id="53"/>
      <w:r>
        <w:rPr>
          <w:sz w:val="24"/>
          <w:szCs w:val="24"/>
          <w:highlight w:val="white"/>
        </w:rPr>
        <w:t>The UNSC unanimously adopted Resolution 99997.</w:t>
      </w:r>
      <w:r>
        <w:rPr>
          <w:sz w:val="24"/>
          <w:szCs w:val="24"/>
          <w:highlight w:val="white"/>
          <w:vertAlign w:val="superscript"/>
        </w:rPr>
        <w:footnoteReference w:id="217"/>
      </w:r>
      <w:r>
        <w:rPr>
          <w:sz w:val="24"/>
          <w:szCs w:val="24"/>
          <w:highlight w:val="white"/>
        </w:rPr>
        <w:t xml:space="preserve"> </w:t>
      </w:r>
      <w:r w:rsidR="00811A68">
        <w:rPr>
          <w:sz w:val="24"/>
          <w:szCs w:val="24"/>
        </w:rPr>
        <w:t xml:space="preserve">Nevertheless, </w:t>
      </w:r>
      <w:r>
        <w:rPr>
          <w:sz w:val="24"/>
          <w:szCs w:val="24"/>
        </w:rPr>
        <w:t>Remisia’s UN Ambassador announced that Dr. Malex would not be permitted to enter Remisia.</w:t>
      </w:r>
      <w:r>
        <w:rPr>
          <w:sz w:val="24"/>
          <w:szCs w:val="24"/>
          <w:vertAlign w:val="superscript"/>
        </w:rPr>
        <w:footnoteReference w:id="218"/>
      </w:r>
      <w:r>
        <w:rPr>
          <w:sz w:val="24"/>
          <w:szCs w:val="24"/>
          <w:vertAlign w:val="superscript"/>
        </w:rPr>
        <w:t xml:space="preserve"> </w:t>
      </w:r>
      <w:r>
        <w:rPr>
          <w:sz w:val="24"/>
          <w:szCs w:val="24"/>
        </w:rPr>
        <w:t>The Secretary-General condemned Remisia’s refusal to recognize UNSC authority under Chapter VI of the Charter,</w:t>
      </w:r>
      <w:r>
        <w:rPr>
          <w:sz w:val="24"/>
          <w:szCs w:val="24"/>
          <w:vertAlign w:val="superscript"/>
        </w:rPr>
        <w:footnoteReference w:id="219"/>
      </w:r>
      <w:r>
        <w:rPr>
          <w:sz w:val="24"/>
          <w:szCs w:val="24"/>
        </w:rPr>
        <w:t xml:space="preserve"> and the President of the UNSC noted the obligation on all UN members to carry out their obligations under the Charter, and typified denying entry to Dr. Malex as a violation of those obligations and of Resolution 99997.</w:t>
      </w:r>
      <w:r>
        <w:rPr>
          <w:sz w:val="24"/>
          <w:szCs w:val="24"/>
          <w:vertAlign w:val="superscript"/>
        </w:rPr>
        <w:footnoteReference w:id="220"/>
      </w:r>
      <w:r>
        <w:rPr>
          <w:sz w:val="24"/>
          <w:szCs w:val="24"/>
        </w:rPr>
        <w:t xml:space="preserve"> After Remisia denied Dr. Malex entry, members of the UNSC criticized its intransigence. </w:t>
      </w:r>
      <w:r>
        <w:rPr>
          <w:sz w:val="24"/>
          <w:szCs w:val="24"/>
          <w:vertAlign w:val="superscript"/>
        </w:rPr>
        <w:footnoteReference w:id="221"/>
      </w:r>
      <w:r>
        <w:rPr>
          <w:sz w:val="24"/>
          <w:szCs w:val="24"/>
        </w:rPr>
        <w:t xml:space="preserve"> </w:t>
      </w:r>
    </w:p>
    <w:p w14:paraId="22644E9E" w14:textId="491B8082" w:rsidR="00811A68" w:rsidRPr="00015CF2" w:rsidRDefault="00811A68" w:rsidP="00015CF2">
      <w:pPr>
        <w:spacing w:before="240" w:line="480" w:lineRule="auto"/>
        <w:ind w:firstLine="720"/>
        <w:jc w:val="both"/>
        <w:rPr>
          <w:b/>
          <w:sz w:val="24"/>
          <w:szCs w:val="24"/>
          <w:highlight w:val="white"/>
          <w:u w:val="single"/>
        </w:rPr>
      </w:pPr>
      <w:r>
        <w:rPr>
          <w:color w:val="000000"/>
          <w:sz w:val="24"/>
          <w:szCs w:val="24"/>
          <w:shd w:val="clear" w:color="auto" w:fill="FFFFFF"/>
        </w:rPr>
        <w:t xml:space="preserve">Therefore, </w:t>
      </w:r>
      <w:r w:rsidRPr="00BC53E8">
        <w:rPr>
          <w:color w:val="000000"/>
          <w:sz w:val="24"/>
          <w:szCs w:val="24"/>
          <w:shd w:val="clear" w:color="auto" w:fill="FFFFFF"/>
        </w:rPr>
        <w:t>the ordinary meaning of the operative verbs</w:t>
      </w:r>
      <w:r>
        <w:rPr>
          <w:color w:val="000000"/>
          <w:sz w:val="24"/>
          <w:szCs w:val="24"/>
          <w:shd w:val="clear" w:color="auto" w:fill="FFFFFF"/>
        </w:rPr>
        <w:t xml:space="preserve"> employed</w:t>
      </w:r>
      <w:r>
        <w:rPr>
          <w:color w:val="000000"/>
          <w:sz w:val="24"/>
          <w:szCs w:val="24"/>
          <w:shd w:val="clear" w:color="auto" w:fill="FFFFFF"/>
        </w:rPr>
        <w:t>,</w:t>
      </w:r>
      <w:r w:rsidRPr="00BC53E8">
        <w:rPr>
          <w:color w:val="000000"/>
          <w:sz w:val="24"/>
          <w:szCs w:val="24"/>
          <w:shd w:val="clear" w:color="auto" w:fill="FFFFFF"/>
        </w:rPr>
        <w:t xml:space="preserve"> the object and purpose, and the </w:t>
      </w:r>
      <w:r>
        <w:rPr>
          <w:color w:val="000000"/>
          <w:sz w:val="24"/>
          <w:szCs w:val="24"/>
          <w:shd w:val="clear" w:color="auto" w:fill="FFFFFF"/>
        </w:rPr>
        <w:t xml:space="preserve">subsequent </w:t>
      </w:r>
      <w:r w:rsidRPr="00BC53E8">
        <w:rPr>
          <w:color w:val="000000"/>
          <w:sz w:val="24"/>
          <w:szCs w:val="24"/>
          <w:shd w:val="clear" w:color="auto" w:fill="FFFFFF"/>
        </w:rPr>
        <w:t xml:space="preserve">practice after the adoption of UNSC Resolution 99997, </w:t>
      </w:r>
      <w:r>
        <w:rPr>
          <w:color w:val="000000"/>
          <w:sz w:val="24"/>
          <w:szCs w:val="24"/>
          <w:shd w:val="clear" w:color="auto" w:fill="FFFFFF"/>
        </w:rPr>
        <w:t>demonstrate</w:t>
      </w:r>
      <w:r w:rsidRPr="00BC53E8">
        <w:rPr>
          <w:color w:val="000000"/>
          <w:sz w:val="24"/>
          <w:szCs w:val="24"/>
          <w:shd w:val="clear" w:color="auto" w:fill="FFFFFF"/>
        </w:rPr>
        <w:t xml:space="preserve"> Remisia’s obligation to cooperate fully with UNIMR</w:t>
      </w:r>
      <w:r>
        <w:rPr>
          <w:color w:val="000000"/>
          <w:sz w:val="24"/>
          <w:szCs w:val="24"/>
          <w:shd w:val="clear" w:color="auto" w:fill="FFFFFF"/>
        </w:rPr>
        <w:t xml:space="preserve"> and </w:t>
      </w:r>
      <w:r w:rsidRPr="00BC53E8">
        <w:rPr>
          <w:color w:val="000000"/>
          <w:sz w:val="24"/>
          <w:szCs w:val="24"/>
          <w:shd w:val="clear" w:color="auto" w:fill="FFFFFF"/>
        </w:rPr>
        <w:t>to allow the entry of Dr. Malex</w:t>
      </w:r>
      <w:r w:rsidR="00195668">
        <w:rPr>
          <w:color w:val="000000"/>
          <w:sz w:val="24"/>
          <w:szCs w:val="24"/>
          <w:shd w:val="clear" w:color="auto" w:fill="FFFFFF"/>
        </w:rPr>
        <w:t xml:space="preserve"> as the mission chief</w:t>
      </w:r>
      <w:r w:rsidRPr="00BC53E8">
        <w:rPr>
          <w:color w:val="000000"/>
          <w:sz w:val="24"/>
          <w:szCs w:val="24"/>
          <w:shd w:val="clear" w:color="auto" w:fill="FFFFFF"/>
        </w:rPr>
        <w:t>.</w:t>
      </w:r>
    </w:p>
    <w:p w14:paraId="359E8839" w14:textId="7D28D0A5" w:rsidR="008C2177" w:rsidRPr="00892401" w:rsidRDefault="00000000" w:rsidP="00F62BB5">
      <w:pPr>
        <w:pStyle w:val="Ttulo1"/>
        <w:spacing w:after="240" w:line="480" w:lineRule="auto"/>
        <w:rPr>
          <w:highlight w:val="white"/>
          <w:u w:val="single"/>
        </w:rPr>
      </w:pPr>
      <w:bookmarkStart w:id="54" w:name="_Toc155961594"/>
      <w:r w:rsidRPr="00892401">
        <w:rPr>
          <w:highlight w:val="white"/>
          <w:u w:val="single"/>
        </w:rPr>
        <w:lastRenderedPageBreak/>
        <w:t>PRAYER FOR RELIEF</w:t>
      </w:r>
      <w:bookmarkEnd w:id="54"/>
      <w:r w:rsidRPr="00892401">
        <w:rPr>
          <w:highlight w:val="white"/>
          <w:u w:val="single"/>
        </w:rPr>
        <w:t xml:space="preserve"> </w:t>
      </w:r>
    </w:p>
    <w:p w14:paraId="36757883" w14:textId="634CE51C" w:rsidR="008C2177" w:rsidRDefault="00000000" w:rsidP="00F62BB5">
      <w:pPr>
        <w:widowControl/>
        <w:shd w:val="clear" w:color="auto" w:fill="FFFFFF"/>
        <w:spacing w:after="240" w:line="480" w:lineRule="auto"/>
        <w:jc w:val="both"/>
        <w:rPr>
          <w:sz w:val="24"/>
          <w:szCs w:val="24"/>
        </w:rPr>
      </w:pPr>
      <w:r>
        <w:rPr>
          <w:i/>
          <w:sz w:val="24"/>
          <w:szCs w:val="24"/>
        </w:rPr>
        <w:t>The Republic of Antrano respectfully requests the Court to adjudge and declare that</w:t>
      </w:r>
      <w:r>
        <w:rPr>
          <w:sz w:val="24"/>
          <w:szCs w:val="24"/>
        </w:rPr>
        <w:t xml:space="preserve">: </w:t>
      </w:r>
    </w:p>
    <w:p w14:paraId="539D0D5C" w14:textId="77777777" w:rsidR="008C2177" w:rsidRPr="00015CF2" w:rsidRDefault="00000000" w:rsidP="00F62BB5">
      <w:pPr>
        <w:widowControl/>
        <w:shd w:val="clear" w:color="auto" w:fill="FFFFFF"/>
        <w:spacing w:after="240" w:line="480" w:lineRule="auto"/>
        <w:jc w:val="center"/>
        <w:rPr>
          <w:b/>
          <w:sz w:val="24"/>
          <w:szCs w:val="24"/>
        </w:rPr>
      </w:pPr>
      <w:r w:rsidRPr="00015CF2">
        <w:rPr>
          <w:b/>
          <w:sz w:val="24"/>
          <w:szCs w:val="24"/>
        </w:rPr>
        <w:t xml:space="preserve">I </w:t>
      </w:r>
    </w:p>
    <w:p w14:paraId="4B165F1C" w14:textId="77777777" w:rsidR="008C2177" w:rsidRDefault="00000000" w:rsidP="00F62BB5">
      <w:pPr>
        <w:widowControl/>
        <w:shd w:val="clear" w:color="auto" w:fill="FFFFFF"/>
        <w:spacing w:after="240" w:line="480" w:lineRule="auto"/>
        <w:jc w:val="both"/>
        <w:rPr>
          <w:sz w:val="24"/>
          <w:szCs w:val="24"/>
        </w:rPr>
      </w:pPr>
      <w:r>
        <w:rPr>
          <w:sz w:val="24"/>
          <w:szCs w:val="24"/>
        </w:rPr>
        <w:t>Antrano has standing to bring the dispute concerning Remisia’s deprivation of nationality of its citizens before the Court.</w:t>
      </w:r>
    </w:p>
    <w:p w14:paraId="4FF12C53" w14:textId="77777777" w:rsidR="008C2177" w:rsidRPr="00015CF2" w:rsidRDefault="00000000" w:rsidP="00F62BB5">
      <w:pPr>
        <w:widowControl/>
        <w:shd w:val="clear" w:color="auto" w:fill="FFFFFF"/>
        <w:spacing w:after="240" w:line="480" w:lineRule="auto"/>
        <w:jc w:val="center"/>
        <w:rPr>
          <w:b/>
          <w:sz w:val="24"/>
          <w:szCs w:val="24"/>
        </w:rPr>
      </w:pPr>
      <w:r w:rsidRPr="00015CF2">
        <w:rPr>
          <w:b/>
          <w:sz w:val="24"/>
          <w:szCs w:val="24"/>
        </w:rPr>
        <w:t>II</w:t>
      </w:r>
    </w:p>
    <w:p w14:paraId="723E489C" w14:textId="1B8E74B2" w:rsidR="008C2177" w:rsidRDefault="00000000" w:rsidP="00F62BB5">
      <w:pPr>
        <w:widowControl/>
        <w:shd w:val="clear" w:color="auto" w:fill="FFFFFF"/>
        <w:spacing w:after="240" w:line="480" w:lineRule="auto"/>
        <w:jc w:val="both"/>
        <w:rPr>
          <w:sz w:val="24"/>
          <w:szCs w:val="24"/>
        </w:rPr>
      </w:pPr>
      <w:r>
        <w:rPr>
          <w:sz w:val="24"/>
          <w:szCs w:val="24"/>
        </w:rPr>
        <w:t xml:space="preserve">Remisia’s deprivation of nationality of the </w:t>
      </w:r>
      <w:r w:rsidR="00195668">
        <w:rPr>
          <w:sz w:val="24"/>
          <w:szCs w:val="24"/>
        </w:rPr>
        <w:t>‘</w:t>
      </w:r>
      <w:r>
        <w:rPr>
          <w:sz w:val="24"/>
          <w:szCs w:val="24"/>
        </w:rPr>
        <w:t>Sterren Forty,</w:t>
      </w:r>
      <w:r w:rsidR="00195668">
        <w:rPr>
          <w:sz w:val="24"/>
          <w:szCs w:val="24"/>
        </w:rPr>
        <w:t>’</w:t>
      </w:r>
      <w:r>
        <w:rPr>
          <w:sz w:val="24"/>
          <w:szCs w:val="24"/>
        </w:rPr>
        <w:t xml:space="preserve"> rendering them stateless, is a violation of international law.</w:t>
      </w:r>
    </w:p>
    <w:p w14:paraId="4488818D" w14:textId="77777777" w:rsidR="008C2177" w:rsidRPr="00015CF2" w:rsidRDefault="00000000" w:rsidP="00F62BB5">
      <w:pPr>
        <w:widowControl/>
        <w:shd w:val="clear" w:color="auto" w:fill="FFFFFF"/>
        <w:spacing w:after="240" w:line="480" w:lineRule="auto"/>
        <w:jc w:val="center"/>
        <w:rPr>
          <w:b/>
          <w:sz w:val="24"/>
          <w:szCs w:val="24"/>
        </w:rPr>
      </w:pPr>
      <w:r w:rsidRPr="00015CF2">
        <w:rPr>
          <w:b/>
          <w:sz w:val="24"/>
          <w:szCs w:val="24"/>
        </w:rPr>
        <w:t>III</w:t>
      </w:r>
    </w:p>
    <w:p w14:paraId="43DEE087" w14:textId="77777777" w:rsidR="008C2177" w:rsidRDefault="00000000" w:rsidP="00F62BB5">
      <w:pPr>
        <w:widowControl/>
        <w:shd w:val="clear" w:color="auto" w:fill="FFFFFF"/>
        <w:spacing w:after="240" w:line="480" w:lineRule="auto"/>
        <w:jc w:val="both"/>
        <w:rPr>
          <w:sz w:val="24"/>
          <w:szCs w:val="24"/>
        </w:rPr>
      </w:pPr>
      <w:r>
        <w:rPr>
          <w:sz w:val="24"/>
          <w:szCs w:val="24"/>
        </w:rPr>
        <w:t xml:space="preserve">Antrano did not violate international law when it refused to provide Remisia consular access to Ms. </w:t>
      </w:r>
      <w:r w:rsidRPr="007B4058">
        <w:rPr>
          <w:sz w:val="24"/>
          <w:szCs w:val="24"/>
        </w:rPr>
        <w:t xml:space="preserve">Saki </w:t>
      </w:r>
      <w:r>
        <w:rPr>
          <w:sz w:val="24"/>
          <w:szCs w:val="24"/>
        </w:rPr>
        <w:t>Shaw during her time as a prisoner in Antrano.</w:t>
      </w:r>
    </w:p>
    <w:p w14:paraId="5654BF15" w14:textId="77777777" w:rsidR="008C2177" w:rsidRPr="00015CF2" w:rsidRDefault="00000000" w:rsidP="00F62BB5">
      <w:pPr>
        <w:widowControl/>
        <w:shd w:val="clear" w:color="auto" w:fill="FFFFFF"/>
        <w:spacing w:after="240" w:line="480" w:lineRule="auto"/>
        <w:jc w:val="center"/>
        <w:rPr>
          <w:b/>
          <w:sz w:val="24"/>
          <w:szCs w:val="24"/>
        </w:rPr>
      </w:pPr>
      <w:r w:rsidRPr="00015CF2">
        <w:rPr>
          <w:b/>
          <w:sz w:val="24"/>
          <w:szCs w:val="24"/>
        </w:rPr>
        <w:t>IV</w:t>
      </w:r>
    </w:p>
    <w:p w14:paraId="0C335AD4" w14:textId="77777777" w:rsidR="008C2177" w:rsidRDefault="00000000" w:rsidP="00F62BB5">
      <w:pPr>
        <w:widowControl/>
        <w:shd w:val="clear" w:color="auto" w:fill="FFFFFF"/>
        <w:spacing w:after="240" w:line="480" w:lineRule="auto"/>
        <w:jc w:val="both"/>
        <w:rPr>
          <w:sz w:val="24"/>
          <w:szCs w:val="24"/>
        </w:rPr>
      </w:pPr>
      <w:r>
        <w:rPr>
          <w:sz w:val="24"/>
          <w:szCs w:val="24"/>
        </w:rPr>
        <w:t>Remisia violated international law by denying Antranan national Dr. Tulous Malex entry to Remisia as required by Security Council Resolution 99997.</w:t>
      </w:r>
    </w:p>
    <w:p w14:paraId="29303475" w14:textId="77777777" w:rsidR="008C2177" w:rsidRDefault="008C2177" w:rsidP="00F62BB5">
      <w:pPr>
        <w:spacing w:before="61" w:line="480" w:lineRule="auto"/>
        <w:ind w:left="100" w:right="116"/>
        <w:jc w:val="both"/>
        <w:rPr>
          <w:sz w:val="24"/>
          <w:szCs w:val="24"/>
        </w:rPr>
      </w:pPr>
    </w:p>
    <w:sectPr w:rsidR="008C2177" w:rsidSect="00191BE1">
      <w:footerReference w:type="default" r:id="rId12"/>
      <w:pgSz w:w="11910" w:h="16840"/>
      <w:pgMar w:top="1360" w:right="1320" w:bottom="1000" w:left="1340" w:header="0" w:footer="8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2761B" w14:textId="77777777" w:rsidR="00191BE1" w:rsidRDefault="00191BE1">
      <w:r>
        <w:separator/>
      </w:r>
    </w:p>
  </w:endnote>
  <w:endnote w:type="continuationSeparator" w:id="0">
    <w:p w14:paraId="03ADBED6" w14:textId="77777777" w:rsidR="00191BE1" w:rsidRDefault="0019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C4BA" w14:textId="0A4DAAC3" w:rsidR="003636F7" w:rsidRDefault="003636F7">
    <w:pPr>
      <w:pStyle w:val="Piedepgina"/>
      <w:jc w:val="right"/>
    </w:pPr>
  </w:p>
  <w:p w14:paraId="7439EC6D" w14:textId="77777777" w:rsidR="00073873" w:rsidRDefault="00073873">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855067"/>
      <w:docPartObj>
        <w:docPartGallery w:val="Page Numbers (Bottom of Page)"/>
        <w:docPartUnique/>
      </w:docPartObj>
    </w:sdtPr>
    <w:sdtContent>
      <w:p w14:paraId="519C458A" w14:textId="77777777" w:rsidR="005357B6" w:rsidRDefault="005357B6">
        <w:pPr>
          <w:pStyle w:val="Piedepgina"/>
          <w:jc w:val="center"/>
        </w:pPr>
      </w:p>
      <w:p w14:paraId="73F3EF16" w14:textId="77777777" w:rsidR="005357B6" w:rsidRDefault="005357B6">
        <w:pPr>
          <w:pStyle w:val="Piedepgina"/>
          <w:jc w:val="center"/>
        </w:pPr>
      </w:p>
      <w:p w14:paraId="2825BB39" w14:textId="5321C556" w:rsidR="00CD482E" w:rsidRDefault="00CD482E">
        <w:pPr>
          <w:pStyle w:val="Piedepgina"/>
          <w:jc w:val="center"/>
        </w:pPr>
        <w:r>
          <w:fldChar w:fldCharType="begin"/>
        </w:r>
        <w:r>
          <w:instrText>PAGE   \* MERGEFORMAT</w:instrText>
        </w:r>
        <w:r>
          <w:fldChar w:fldCharType="separate"/>
        </w:r>
        <w:r>
          <w:rPr>
            <w:lang w:val="es-ES"/>
          </w:rPr>
          <w:t>2</w:t>
        </w:r>
        <w:r>
          <w:fldChar w:fldCharType="end"/>
        </w:r>
      </w:p>
    </w:sdtContent>
  </w:sdt>
  <w:p w14:paraId="771B7E93" w14:textId="77777777" w:rsidR="00CD482E" w:rsidRDefault="00CD482E">
    <w:pPr>
      <w:pBdr>
        <w:top w:val="nil"/>
        <w:left w:val="nil"/>
        <w:bottom w:val="nil"/>
        <w:right w:val="nil"/>
        <w:between w:val="nil"/>
      </w:pBdr>
      <w:spacing w:line="14" w:lineRule="auto"/>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759402"/>
      <w:docPartObj>
        <w:docPartGallery w:val="Page Numbers (Bottom of Page)"/>
        <w:docPartUnique/>
      </w:docPartObj>
    </w:sdtPr>
    <w:sdtContent>
      <w:p w14:paraId="5A2C546C" w14:textId="77777777" w:rsidR="005357B6" w:rsidRDefault="005357B6">
        <w:pPr>
          <w:pStyle w:val="Piedepgina"/>
          <w:jc w:val="center"/>
        </w:pPr>
      </w:p>
      <w:p w14:paraId="7AA0BDFE" w14:textId="77777777" w:rsidR="005357B6" w:rsidRDefault="005357B6">
        <w:pPr>
          <w:pStyle w:val="Piedepgina"/>
          <w:jc w:val="center"/>
        </w:pPr>
      </w:p>
      <w:p w14:paraId="5DFCA156" w14:textId="6449B48F" w:rsidR="00CD482E" w:rsidRDefault="00CD482E">
        <w:pPr>
          <w:pStyle w:val="Piedepgina"/>
          <w:jc w:val="center"/>
        </w:pPr>
        <w:r>
          <w:fldChar w:fldCharType="begin"/>
        </w:r>
        <w:r>
          <w:instrText>PAGE   \* MERGEFORMAT</w:instrText>
        </w:r>
        <w:r>
          <w:fldChar w:fldCharType="separate"/>
        </w:r>
        <w:r>
          <w:rPr>
            <w:lang w:val="es-ES"/>
          </w:rPr>
          <w:t>2</w:t>
        </w:r>
        <w:r>
          <w:fldChar w:fldCharType="end"/>
        </w:r>
      </w:p>
    </w:sdtContent>
  </w:sdt>
  <w:p w14:paraId="3FC65056" w14:textId="77777777" w:rsidR="00CD482E" w:rsidRDefault="00CD482E">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D8D71" w14:textId="77777777" w:rsidR="00191BE1" w:rsidRDefault="00191BE1">
      <w:r>
        <w:separator/>
      </w:r>
    </w:p>
  </w:footnote>
  <w:footnote w:type="continuationSeparator" w:id="0">
    <w:p w14:paraId="1C81E46C" w14:textId="77777777" w:rsidR="00191BE1" w:rsidRDefault="00191BE1">
      <w:r>
        <w:continuationSeparator/>
      </w:r>
    </w:p>
  </w:footnote>
  <w:footnote w:id="1">
    <w:p w14:paraId="4D8913B5" w14:textId="77777777"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highlight w:val="white"/>
        </w:rPr>
        <w:t xml:space="preserve"> Compromis, [34].</w:t>
      </w:r>
    </w:p>
    <w:p w14:paraId="1EC5F5BA" w14:textId="77777777" w:rsidR="008C2177" w:rsidRPr="001347F6" w:rsidRDefault="008C2177" w:rsidP="001347F6">
      <w:pPr>
        <w:widowControl/>
        <w:jc w:val="both"/>
        <w:rPr>
          <w:sz w:val="24"/>
          <w:szCs w:val="24"/>
        </w:rPr>
      </w:pPr>
    </w:p>
  </w:footnote>
  <w:footnote w:id="2">
    <w:p w14:paraId="2B70946C" w14:textId="77777777" w:rsidR="008C2177" w:rsidRPr="001347F6" w:rsidRDefault="00000000" w:rsidP="001347F6">
      <w:pPr>
        <w:widowControl/>
        <w:jc w:val="both"/>
        <w:rPr>
          <w:sz w:val="24"/>
          <w:szCs w:val="24"/>
          <w:highlight w:val="white"/>
        </w:rPr>
      </w:pPr>
      <w:r w:rsidRPr="001347F6">
        <w:rPr>
          <w:sz w:val="24"/>
          <w:szCs w:val="24"/>
          <w:vertAlign w:val="superscript"/>
        </w:rPr>
        <w:footnoteRef/>
      </w:r>
      <w:r w:rsidRPr="001347F6">
        <w:rPr>
          <w:sz w:val="24"/>
          <w:szCs w:val="24"/>
          <w:highlight w:val="white"/>
        </w:rPr>
        <w:t xml:space="preserve"> Compromis, [8], [34].</w:t>
      </w:r>
    </w:p>
    <w:p w14:paraId="18FAC163" w14:textId="77777777" w:rsidR="008C2177" w:rsidRPr="001347F6" w:rsidRDefault="008C2177" w:rsidP="001347F6">
      <w:pPr>
        <w:widowControl/>
        <w:jc w:val="both"/>
        <w:rPr>
          <w:sz w:val="24"/>
          <w:szCs w:val="24"/>
        </w:rPr>
      </w:pPr>
    </w:p>
  </w:footnote>
  <w:footnote w:id="3">
    <w:p w14:paraId="66D9B7BF" w14:textId="77777777"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w:t>
      </w:r>
      <w:r w:rsidRPr="001347F6">
        <w:rPr>
          <w:sz w:val="24"/>
          <w:szCs w:val="24"/>
          <w:highlight w:val="white"/>
        </w:rPr>
        <w:t>Compromis, [63(b)].</w:t>
      </w:r>
    </w:p>
    <w:p w14:paraId="496B10D9" w14:textId="77777777" w:rsidR="008C2177" w:rsidRPr="001347F6" w:rsidRDefault="008C2177" w:rsidP="001347F6">
      <w:pPr>
        <w:widowControl/>
        <w:jc w:val="both"/>
        <w:rPr>
          <w:sz w:val="24"/>
          <w:szCs w:val="24"/>
        </w:rPr>
      </w:pPr>
    </w:p>
  </w:footnote>
  <w:footnote w:id="4">
    <w:p w14:paraId="577522A5" w14:textId="2CB57B68" w:rsidR="008C2177" w:rsidRDefault="00000000" w:rsidP="001347F6">
      <w:pPr>
        <w:widowControl/>
        <w:jc w:val="both"/>
        <w:rPr>
          <w:sz w:val="24"/>
          <w:szCs w:val="24"/>
          <w:highlight w:val="white"/>
        </w:rPr>
      </w:pPr>
      <w:r w:rsidRPr="001347F6">
        <w:rPr>
          <w:sz w:val="24"/>
          <w:szCs w:val="24"/>
          <w:vertAlign w:val="superscript"/>
        </w:rPr>
        <w:footnoteRef/>
      </w:r>
      <w:r w:rsidRPr="001347F6">
        <w:rPr>
          <w:i/>
          <w:sz w:val="24"/>
          <w:szCs w:val="24"/>
          <w:highlight w:val="white"/>
        </w:rPr>
        <w:t xml:space="preserve"> </w:t>
      </w:r>
      <w:r w:rsidR="00883AB5" w:rsidRPr="001347F6">
        <w:rPr>
          <w:i/>
          <w:sz w:val="24"/>
          <w:szCs w:val="24"/>
          <w:highlight w:val="white"/>
        </w:rPr>
        <w:fldChar w:fldCharType="begin"/>
      </w:r>
      <w:r w:rsidR="00883AB5" w:rsidRPr="001347F6">
        <w:rPr>
          <w:sz w:val="24"/>
          <w:szCs w:val="24"/>
        </w:rPr>
        <w:instrText xml:space="preserve"> TA \l "</w:instrText>
      </w:r>
      <w:r w:rsidR="00883AB5" w:rsidRPr="001347F6">
        <w:rPr>
          <w:i/>
          <w:sz w:val="24"/>
          <w:szCs w:val="24"/>
          <w:highlight w:val="white"/>
        </w:rPr>
        <w:instrText>Application of the Convention on the Prevention and Punishment of the Crime of Genocide</w:instrText>
      </w:r>
      <w:r w:rsidR="00883AB5" w:rsidRPr="001347F6">
        <w:rPr>
          <w:sz w:val="24"/>
          <w:szCs w:val="24"/>
          <w:highlight w:val="white"/>
        </w:rPr>
        <w:instrText xml:space="preserve"> (The Gambia v. Myanmar) (Preliminary Objections) [2022] [</w:instrText>
      </w:r>
      <w:r w:rsidR="00883AB5" w:rsidRPr="001347F6">
        <w:rPr>
          <w:i/>
          <w:sz w:val="24"/>
          <w:szCs w:val="24"/>
          <w:highlight w:val="white"/>
        </w:rPr>
        <w:instrText>‘The Gambia v. Myanmar’</w:instrText>
      </w:r>
      <w:r w:rsidR="00883AB5" w:rsidRPr="001347F6">
        <w:rPr>
          <w:sz w:val="24"/>
          <w:szCs w:val="24"/>
          <w:highlight w:val="white"/>
        </w:rPr>
        <w:instrText xml:space="preserve">] </w:instrText>
      </w:r>
      <w:r w:rsidR="00883AB5" w:rsidRPr="001347F6">
        <w:rPr>
          <w:sz w:val="24"/>
          <w:szCs w:val="24"/>
        </w:rPr>
        <w:instrText xml:space="preserve">ICJ Rep 516" \s "The Gambia v. Myanmar" \c 1 </w:instrText>
      </w:r>
      <w:r w:rsidR="00883AB5" w:rsidRPr="001347F6">
        <w:rPr>
          <w:i/>
          <w:sz w:val="24"/>
          <w:szCs w:val="24"/>
          <w:highlight w:val="white"/>
        </w:rPr>
        <w:fldChar w:fldCharType="end"/>
      </w:r>
      <w:r w:rsidRPr="001347F6">
        <w:rPr>
          <w:i/>
          <w:sz w:val="24"/>
          <w:szCs w:val="24"/>
          <w:highlight w:val="white"/>
        </w:rPr>
        <w:t>Application of the Convention on the Prevention and Punishment of the Crime of Genocide</w:t>
      </w:r>
      <w:r w:rsidRPr="001347F6">
        <w:rPr>
          <w:sz w:val="24"/>
          <w:szCs w:val="24"/>
          <w:highlight w:val="white"/>
        </w:rPr>
        <w:t xml:space="preserve"> (The Gambia v. Myanmar) (Preliminary Objections) [2022] [</w:t>
      </w:r>
      <w:r w:rsidRPr="001347F6">
        <w:rPr>
          <w:i/>
          <w:sz w:val="24"/>
          <w:szCs w:val="24"/>
          <w:highlight w:val="white"/>
        </w:rPr>
        <w:t>‘The Gambia v. Myanmar’</w:t>
      </w:r>
      <w:r w:rsidRPr="001347F6">
        <w:rPr>
          <w:sz w:val="24"/>
          <w:szCs w:val="24"/>
          <w:highlight w:val="white"/>
        </w:rPr>
        <w:t xml:space="preserve">] </w:t>
      </w:r>
      <w:r w:rsidRPr="001347F6">
        <w:rPr>
          <w:sz w:val="24"/>
          <w:szCs w:val="24"/>
        </w:rPr>
        <w:t>ICJ Rep 516</w:t>
      </w:r>
      <w:r w:rsidRPr="001347F6">
        <w:rPr>
          <w:sz w:val="24"/>
          <w:szCs w:val="24"/>
          <w:highlight w:val="white"/>
        </w:rPr>
        <w:t xml:space="preserve"> [114]; </w:t>
      </w:r>
      <w:r w:rsidRPr="001347F6">
        <w:rPr>
          <w:i/>
          <w:sz w:val="24"/>
          <w:szCs w:val="24"/>
          <w:highlight w:val="white"/>
        </w:rPr>
        <w:t>Questions relating to the Obligation to Prosecute or Extradite</w:t>
      </w:r>
      <w:r w:rsidRPr="001347F6">
        <w:rPr>
          <w:sz w:val="24"/>
          <w:szCs w:val="24"/>
          <w:highlight w:val="white"/>
        </w:rPr>
        <w:t xml:space="preserve"> (Belgium v Senegal) (Judgment) [2012] [</w:t>
      </w:r>
      <w:r w:rsidRPr="001347F6">
        <w:rPr>
          <w:i/>
          <w:sz w:val="24"/>
          <w:szCs w:val="24"/>
          <w:highlight w:val="white"/>
        </w:rPr>
        <w:t>‘Belgium v Senegal’</w:t>
      </w:r>
      <w:r w:rsidRPr="001347F6">
        <w:rPr>
          <w:sz w:val="24"/>
          <w:szCs w:val="24"/>
          <w:highlight w:val="white"/>
        </w:rPr>
        <w:t>] ICJ Rep 450</w:t>
      </w:r>
      <w:r w:rsidR="00883AB5" w:rsidRPr="001347F6">
        <w:rPr>
          <w:sz w:val="24"/>
          <w:szCs w:val="24"/>
          <w:highlight w:val="white"/>
        </w:rPr>
        <w:fldChar w:fldCharType="begin"/>
      </w:r>
      <w:r w:rsidR="00883AB5" w:rsidRPr="001347F6">
        <w:rPr>
          <w:sz w:val="24"/>
          <w:szCs w:val="24"/>
        </w:rPr>
        <w:instrText xml:space="preserve"> TA \l "</w:instrText>
      </w:r>
      <w:r w:rsidR="00883AB5" w:rsidRPr="001347F6">
        <w:rPr>
          <w:i/>
          <w:sz w:val="24"/>
          <w:szCs w:val="24"/>
          <w:highlight w:val="white"/>
        </w:rPr>
        <w:instrText>Questions relating to the Obligation to Prosecute or Extradite</w:instrText>
      </w:r>
      <w:r w:rsidR="00883AB5" w:rsidRPr="001347F6">
        <w:rPr>
          <w:sz w:val="24"/>
          <w:szCs w:val="24"/>
          <w:highlight w:val="white"/>
        </w:rPr>
        <w:instrText xml:space="preserve"> (Belgium v Senegal) (Judgment) [2012] [</w:instrText>
      </w:r>
      <w:r w:rsidR="00883AB5" w:rsidRPr="001347F6">
        <w:rPr>
          <w:i/>
          <w:sz w:val="24"/>
          <w:szCs w:val="24"/>
          <w:highlight w:val="white"/>
        </w:rPr>
        <w:instrText>‘Belgium v Senegal’</w:instrText>
      </w:r>
      <w:r w:rsidR="00883AB5" w:rsidRPr="001347F6">
        <w:rPr>
          <w:sz w:val="24"/>
          <w:szCs w:val="24"/>
          <w:highlight w:val="white"/>
        </w:rPr>
        <w:instrText>] ICJ Rep 450</w:instrText>
      </w:r>
      <w:r w:rsidR="00883AB5" w:rsidRPr="001347F6">
        <w:rPr>
          <w:sz w:val="24"/>
          <w:szCs w:val="24"/>
        </w:rPr>
        <w:instrText xml:space="preserve">" \s "Belgium v Senegal" \c 1 </w:instrText>
      </w:r>
      <w:r w:rsidR="00883AB5" w:rsidRPr="001347F6">
        <w:rPr>
          <w:sz w:val="24"/>
          <w:szCs w:val="24"/>
          <w:highlight w:val="white"/>
        </w:rPr>
        <w:fldChar w:fldCharType="end"/>
      </w:r>
      <w:r w:rsidRPr="001347F6">
        <w:rPr>
          <w:sz w:val="24"/>
          <w:szCs w:val="24"/>
          <w:highlight w:val="white"/>
        </w:rPr>
        <w:t xml:space="preserve"> [70].</w:t>
      </w:r>
    </w:p>
    <w:p w14:paraId="07DDCFD6" w14:textId="77777777" w:rsidR="001347F6" w:rsidRPr="001347F6" w:rsidRDefault="001347F6" w:rsidP="001347F6">
      <w:pPr>
        <w:widowControl/>
        <w:jc w:val="both"/>
        <w:rPr>
          <w:sz w:val="24"/>
          <w:szCs w:val="24"/>
          <w:highlight w:val="white"/>
        </w:rPr>
      </w:pPr>
    </w:p>
  </w:footnote>
  <w:footnote w:id="5">
    <w:p w14:paraId="43BEFE31" w14:textId="5900818B" w:rsidR="008C2177" w:rsidRPr="001347F6" w:rsidRDefault="00000000" w:rsidP="001347F6">
      <w:pPr>
        <w:widowControl/>
        <w:jc w:val="both"/>
        <w:rPr>
          <w:sz w:val="24"/>
          <w:szCs w:val="24"/>
          <w:highlight w:val="white"/>
        </w:rPr>
      </w:pPr>
      <w:r w:rsidRPr="001347F6">
        <w:rPr>
          <w:sz w:val="24"/>
          <w:szCs w:val="24"/>
          <w:vertAlign w:val="superscript"/>
        </w:rPr>
        <w:footnoteRef/>
      </w:r>
      <w:r w:rsidRPr="001347F6">
        <w:rPr>
          <w:sz w:val="24"/>
          <w:szCs w:val="24"/>
          <w:highlight w:val="white"/>
        </w:rPr>
        <w:t xml:space="preserve"> ILC, ‘Articles on Responsibility of States for Internationally Wrongful Act adopted by the ILC at its 53rd Session, annexed to G.A. Res. 56/83’ (12 December 2001) UN Doc A/RES/56/83 [‘ARSIWA’]</w:t>
      </w:r>
      <w:r w:rsidR="000E212C" w:rsidRPr="001347F6">
        <w:rPr>
          <w:sz w:val="24"/>
          <w:szCs w:val="24"/>
          <w:highlight w:val="white"/>
        </w:rPr>
        <w:fldChar w:fldCharType="begin"/>
      </w:r>
      <w:r w:rsidR="000E212C" w:rsidRPr="001347F6">
        <w:rPr>
          <w:sz w:val="24"/>
          <w:szCs w:val="24"/>
        </w:rPr>
        <w:instrText xml:space="preserve"> TA \l "</w:instrText>
      </w:r>
      <w:r w:rsidR="000E212C" w:rsidRPr="001347F6">
        <w:rPr>
          <w:sz w:val="24"/>
          <w:szCs w:val="24"/>
          <w:highlight w:val="white"/>
        </w:rPr>
        <w:instrText>ILC, ‘Articles on Responsibility of States for Internationally Wrongful Act adopted by the ILC at its 53rd Session, annexed to G.A. Res. 56/83’ (12 December 2001) UN Doc A/RES/56/83 [‘ARSIWA’]</w:instrText>
      </w:r>
      <w:r w:rsidR="000E212C" w:rsidRPr="001347F6">
        <w:rPr>
          <w:sz w:val="24"/>
          <w:szCs w:val="24"/>
        </w:rPr>
        <w:instrText xml:space="preserve">" \s "ARSIWA," \c 7 </w:instrText>
      </w:r>
      <w:r w:rsidR="000E212C" w:rsidRPr="001347F6">
        <w:rPr>
          <w:sz w:val="24"/>
          <w:szCs w:val="24"/>
          <w:highlight w:val="white"/>
        </w:rPr>
        <w:fldChar w:fldCharType="end"/>
      </w:r>
      <w:r w:rsidRPr="001347F6">
        <w:rPr>
          <w:sz w:val="24"/>
          <w:szCs w:val="24"/>
          <w:highlight w:val="white"/>
        </w:rPr>
        <w:t xml:space="preserve">, Art 48(1)(a); </w:t>
      </w:r>
      <w:r w:rsidRPr="001347F6">
        <w:rPr>
          <w:i/>
          <w:sz w:val="24"/>
          <w:szCs w:val="24"/>
          <w:highlight w:val="white"/>
        </w:rPr>
        <w:t>The Gambia v. Myanmar</w:t>
      </w:r>
      <w:r w:rsidR="00883AB5" w:rsidRPr="001347F6">
        <w:rPr>
          <w:i/>
          <w:sz w:val="24"/>
          <w:szCs w:val="24"/>
          <w:highlight w:val="white"/>
        </w:rPr>
        <w:fldChar w:fldCharType="begin"/>
      </w:r>
      <w:r w:rsidR="00883AB5" w:rsidRPr="001347F6">
        <w:rPr>
          <w:i/>
          <w:sz w:val="24"/>
          <w:szCs w:val="24"/>
          <w:highlight w:val="white"/>
        </w:rPr>
        <w:instrText xml:space="preserve"> TA \s "The Gambia v. Myanmar" </w:instrText>
      </w:r>
      <w:r w:rsidR="00883AB5" w:rsidRPr="001347F6">
        <w:rPr>
          <w:i/>
          <w:sz w:val="24"/>
          <w:szCs w:val="24"/>
          <w:highlight w:val="white"/>
        </w:rPr>
        <w:fldChar w:fldCharType="end"/>
      </w:r>
      <w:r w:rsidRPr="001347F6">
        <w:rPr>
          <w:sz w:val="24"/>
          <w:szCs w:val="24"/>
          <w:highlight w:val="white"/>
        </w:rPr>
        <w:t xml:space="preserve"> [108]; </w:t>
      </w:r>
      <w:r w:rsidRPr="001347F6">
        <w:rPr>
          <w:i/>
          <w:sz w:val="24"/>
          <w:szCs w:val="24"/>
          <w:highlight w:val="white"/>
        </w:rPr>
        <w:t>Belgium v Senegal</w:t>
      </w:r>
      <w:r w:rsidR="00883AB5" w:rsidRPr="001347F6">
        <w:rPr>
          <w:i/>
          <w:sz w:val="24"/>
          <w:szCs w:val="24"/>
          <w:highlight w:val="white"/>
        </w:rPr>
        <w:fldChar w:fldCharType="begin"/>
      </w:r>
      <w:r w:rsidR="00883AB5" w:rsidRPr="001347F6">
        <w:rPr>
          <w:i/>
          <w:sz w:val="24"/>
          <w:szCs w:val="24"/>
          <w:highlight w:val="white"/>
        </w:rPr>
        <w:instrText xml:space="preserve"> TA \s "Belgium v Senegal" </w:instrText>
      </w:r>
      <w:r w:rsidR="00883AB5" w:rsidRPr="001347F6">
        <w:rPr>
          <w:i/>
          <w:sz w:val="24"/>
          <w:szCs w:val="24"/>
          <w:highlight w:val="white"/>
        </w:rPr>
        <w:fldChar w:fldCharType="end"/>
      </w:r>
      <w:r w:rsidRPr="001347F6">
        <w:rPr>
          <w:sz w:val="24"/>
          <w:szCs w:val="24"/>
          <w:highlight w:val="white"/>
        </w:rPr>
        <w:t xml:space="preserve"> [69].</w:t>
      </w:r>
    </w:p>
    <w:p w14:paraId="112A6702" w14:textId="77777777" w:rsidR="008C2177" w:rsidRPr="001347F6" w:rsidRDefault="008C2177" w:rsidP="001347F6">
      <w:pPr>
        <w:widowControl/>
        <w:jc w:val="both"/>
        <w:rPr>
          <w:sz w:val="24"/>
          <w:szCs w:val="24"/>
        </w:rPr>
      </w:pPr>
    </w:p>
  </w:footnote>
  <w:footnote w:id="6">
    <w:p w14:paraId="22BE7CF6" w14:textId="38189EEA"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highlight w:val="white"/>
        </w:rPr>
        <w:t xml:space="preserve"> </w:t>
      </w:r>
      <w:r w:rsidRPr="001347F6">
        <w:rPr>
          <w:i/>
          <w:sz w:val="24"/>
          <w:szCs w:val="24"/>
          <w:highlight w:val="white"/>
        </w:rPr>
        <w:t>Reservations to the Convention on the Prevention and Punishment of the Crime of Genocide</w:t>
      </w:r>
      <w:r w:rsidRPr="001347F6">
        <w:rPr>
          <w:sz w:val="24"/>
          <w:szCs w:val="24"/>
          <w:highlight w:val="white"/>
        </w:rPr>
        <w:t xml:space="preserve"> (Advisory Opinion) </w:t>
      </w:r>
      <w:r w:rsidRPr="001347F6">
        <w:rPr>
          <w:sz w:val="24"/>
          <w:szCs w:val="24"/>
        </w:rPr>
        <w:t>[1951] [</w:t>
      </w:r>
      <w:r w:rsidRPr="001347F6">
        <w:rPr>
          <w:i/>
          <w:sz w:val="24"/>
          <w:szCs w:val="24"/>
        </w:rPr>
        <w:t>‘</w:t>
      </w:r>
      <w:r w:rsidRPr="001347F6">
        <w:rPr>
          <w:i/>
          <w:sz w:val="24"/>
          <w:szCs w:val="24"/>
          <w:highlight w:val="white"/>
        </w:rPr>
        <w:t>Genocide Reservations</w:t>
      </w:r>
      <w:r w:rsidRPr="001347F6">
        <w:rPr>
          <w:i/>
          <w:sz w:val="24"/>
          <w:szCs w:val="24"/>
        </w:rPr>
        <w:t>’</w:t>
      </w:r>
      <w:r w:rsidRPr="001347F6">
        <w:rPr>
          <w:sz w:val="24"/>
          <w:szCs w:val="24"/>
        </w:rPr>
        <w:t xml:space="preserve">] </w:t>
      </w:r>
      <w:r w:rsidRPr="001347F6">
        <w:rPr>
          <w:sz w:val="24"/>
          <w:szCs w:val="24"/>
          <w:highlight w:val="white"/>
        </w:rPr>
        <w:t>ICJ Rep 23</w:t>
      </w:r>
      <w:r w:rsidR="00016E26" w:rsidRPr="001347F6">
        <w:rPr>
          <w:sz w:val="24"/>
          <w:szCs w:val="24"/>
          <w:highlight w:val="white"/>
        </w:rPr>
        <w:fldChar w:fldCharType="begin"/>
      </w:r>
      <w:r w:rsidR="00016E26" w:rsidRPr="001347F6">
        <w:rPr>
          <w:sz w:val="24"/>
          <w:szCs w:val="24"/>
        </w:rPr>
        <w:instrText xml:space="preserve"> TA \l "</w:instrText>
      </w:r>
      <w:r w:rsidR="00016E26" w:rsidRPr="001347F6">
        <w:rPr>
          <w:i/>
          <w:sz w:val="24"/>
          <w:szCs w:val="24"/>
          <w:highlight w:val="white"/>
        </w:rPr>
        <w:instrText>Reservations to the Convention on the Prevention and Punishment of the Crime of Genocide</w:instrText>
      </w:r>
      <w:r w:rsidR="00016E26" w:rsidRPr="001347F6">
        <w:rPr>
          <w:sz w:val="24"/>
          <w:szCs w:val="24"/>
          <w:highlight w:val="white"/>
        </w:rPr>
        <w:instrText xml:space="preserve"> (Advisory Opinion) </w:instrText>
      </w:r>
      <w:r w:rsidR="00016E26" w:rsidRPr="001347F6">
        <w:rPr>
          <w:sz w:val="24"/>
          <w:szCs w:val="24"/>
        </w:rPr>
        <w:instrText>[1951] [</w:instrText>
      </w:r>
      <w:r w:rsidR="00016E26" w:rsidRPr="001347F6">
        <w:rPr>
          <w:i/>
          <w:sz w:val="24"/>
          <w:szCs w:val="24"/>
        </w:rPr>
        <w:instrText>‘</w:instrText>
      </w:r>
      <w:r w:rsidR="00016E26" w:rsidRPr="001347F6">
        <w:rPr>
          <w:i/>
          <w:sz w:val="24"/>
          <w:szCs w:val="24"/>
          <w:highlight w:val="white"/>
        </w:rPr>
        <w:instrText>Genocide Reservations</w:instrText>
      </w:r>
      <w:r w:rsidR="00016E26" w:rsidRPr="001347F6">
        <w:rPr>
          <w:i/>
          <w:sz w:val="24"/>
          <w:szCs w:val="24"/>
        </w:rPr>
        <w:instrText>’</w:instrText>
      </w:r>
      <w:r w:rsidR="00016E26" w:rsidRPr="001347F6">
        <w:rPr>
          <w:sz w:val="24"/>
          <w:szCs w:val="24"/>
        </w:rPr>
        <w:instrText xml:space="preserve">] </w:instrText>
      </w:r>
      <w:r w:rsidR="00016E26" w:rsidRPr="001347F6">
        <w:rPr>
          <w:sz w:val="24"/>
          <w:szCs w:val="24"/>
          <w:highlight w:val="white"/>
        </w:rPr>
        <w:instrText>ICJ Rep 23</w:instrText>
      </w:r>
      <w:r w:rsidR="00016E26" w:rsidRPr="001347F6">
        <w:rPr>
          <w:sz w:val="24"/>
          <w:szCs w:val="24"/>
        </w:rPr>
        <w:instrText xml:space="preserve">" \s "Genocide Reservations" \c 1 </w:instrText>
      </w:r>
      <w:r w:rsidR="00016E26" w:rsidRPr="001347F6">
        <w:rPr>
          <w:sz w:val="24"/>
          <w:szCs w:val="24"/>
          <w:highlight w:val="white"/>
        </w:rPr>
        <w:fldChar w:fldCharType="end"/>
      </w:r>
      <w:r w:rsidRPr="001347F6">
        <w:rPr>
          <w:sz w:val="24"/>
          <w:szCs w:val="24"/>
          <w:highlight w:val="white"/>
        </w:rPr>
        <w:t xml:space="preserve">, pp. 12; </w:t>
      </w:r>
      <w:r w:rsidRPr="001347F6">
        <w:rPr>
          <w:sz w:val="24"/>
          <w:szCs w:val="24"/>
        </w:rPr>
        <w:t xml:space="preserve">European Commission of Human Rights ‘Austria v. Italy - Decision of the Commission as to the Admissibility </w:t>
      </w:r>
      <w:r w:rsidRPr="001347F6">
        <w:rPr>
          <w:sz w:val="24"/>
          <w:szCs w:val="24"/>
          <w:highlight w:val="white"/>
        </w:rPr>
        <w:t>of Application No. 788/60</w:t>
      </w:r>
      <w:r w:rsidRPr="001347F6">
        <w:rPr>
          <w:sz w:val="24"/>
          <w:szCs w:val="24"/>
        </w:rPr>
        <w:t>’ (11 January 1961)</w:t>
      </w:r>
      <w:r w:rsidR="001A6E1C" w:rsidRPr="001347F6">
        <w:rPr>
          <w:sz w:val="24"/>
          <w:szCs w:val="24"/>
        </w:rPr>
        <w:fldChar w:fldCharType="begin"/>
      </w:r>
      <w:r w:rsidR="001A6E1C" w:rsidRPr="001347F6">
        <w:rPr>
          <w:sz w:val="24"/>
          <w:szCs w:val="24"/>
        </w:rPr>
        <w:instrText xml:space="preserve"> TA \l "European Commission of Human Rights ‘Austria v. Italy - Decision of the Commission as to the Admissibility </w:instrText>
      </w:r>
      <w:r w:rsidR="001A6E1C" w:rsidRPr="001347F6">
        <w:rPr>
          <w:sz w:val="24"/>
          <w:szCs w:val="24"/>
          <w:highlight w:val="white"/>
        </w:rPr>
        <w:instrText>of Application No. 788/60</w:instrText>
      </w:r>
      <w:r w:rsidR="001A6E1C" w:rsidRPr="001347F6">
        <w:rPr>
          <w:sz w:val="24"/>
          <w:szCs w:val="24"/>
        </w:rPr>
        <w:instrText xml:space="preserve">’ (11 January 1961)" \s "Austria v. Italy - Decision of the Commission as to the Admissibility of Application No. 788/60" \c 7 </w:instrText>
      </w:r>
      <w:r w:rsidR="001A6E1C" w:rsidRPr="001347F6">
        <w:rPr>
          <w:sz w:val="24"/>
          <w:szCs w:val="24"/>
        </w:rPr>
        <w:fldChar w:fldCharType="end"/>
      </w:r>
      <w:r w:rsidR="00CC5754" w:rsidRPr="001347F6">
        <w:rPr>
          <w:sz w:val="24"/>
          <w:szCs w:val="24"/>
        </w:rPr>
        <w:t>,</w:t>
      </w:r>
      <w:r w:rsidRPr="001347F6">
        <w:rPr>
          <w:sz w:val="24"/>
          <w:szCs w:val="24"/>
        </w:rPr>
        <w:t xml:space="preserve"> pp. 19-20.</w:t>
      </w:r>
    </w:p>
    <w:p w14:paraId="00CCBCEB" w14:textId="77777777" w:rsidR="008C2177" w:rsidRPr="001347F6" w:rsidRDefault="008C2177" w:rsidP="001347F6">
      <w:pPr>
        <w:widowControl/>
        <w:jc w:val="both"/>
        <w:rPr>
          <w:sz w:val="24"/>
          <w:szCs w:val="24"/>
          <w:highlight w:val="white"/>
        </w:rPr>
      </w:pPr>
    </w:p>
  </w:footnote>
  <w:footnote w:id="7">
    <w:p w14:paraId="497824CA" w14:textId="7EF7BEA5" w:rsidR="008C2177" w:rsidRPr="001347F6" w:rsidRDefault="00000000" w:rsidP="001347F6">
      <w:pPr>
        <w:widowControl/>
        <w:jc w:val="both"/>
        <w:rPr>
          <w:i/>
          <w:sz w:val="24"/>
          <w:szCs w:val="24"/>
          <w:highlight w:val="white"/>
        </w:rPr>
      </w:pPr>
      <w:r w:rsidRPr="001347F6">
        <w:rPr>
          <w:sz w:val="24"/>
          <w:szCs w:val="24"/>
          <w:vertAlign w:val="superscript"/>
        </w:rPr>
        <w:footnoteRef/>
      </w:r>
      <w:r w:rsidRPr="001347F6">
        <w:rPr>
          <w:sz w:val="24"/>
          <w:szCs w:val="24"/>
          <w:highlight w:val="white"/>
        </w:rPr>
        <w:t xml:space="preserve"> </w:t>
      </w:r>
      <w:r w:rsidRPr="001347F6">
        <w:rPr>
          <w:i/>
          <w:sz w:val="24"/>
          <w:szCs w:val="24"/>
          <w:highlight w:val="white"/>
        </w:rPr>
        <w:t xml:space="preserve">Application of the Convention on the Prevention and Punishment of the Crime of Genocide </w:t>
      </w:r>
      <w:r w:rsidRPr="001347F6">
        <w:rPr>
          <w:sz w:val="24"/>
          <w:szCs w:val="24"/>
          <w:highlight w:val="white"/>
        </w:rPr>
        <w:t xml:space="preserve">(The Gambia v. Myanmar) (Declaration of Judge Ad Hoc Kreß) [2022] </w:t>
      </w:r>
      <w:r w:rsidRPr="001347F6">
        <w:rPr>
          <w:sz w:val="24"/>
          <w:szCs w:val="24"/>
        </w:rPr>
        <w:t>ICJ Rep 545</w:t>
      </w:r>
      <w:r w:rsidR="001A6E1C" w:rsidRPr="001347F6">
        <w:rPr>
          <w:sz w:val="24"/>
          <w:szCs w:val="24"/>
        </w:rPr>
        <w:fldChar w:fldCharType="begin"/>
      </w:r>
      <w:r w:rsidR="001A6E1C" w:rsidRPr="001347F6">
        <w:rPr>
          <w:sz w:val="24"/>
          <w:szCs w:val="24"/>
        </w:rPr>
        <w:instrText xml:space="preserve"> TA \l "</w:instrText>
      </w:r>
      <w:r w:rsidR="001A6E1C" w:rsidRPr="001347F6">
        <w:rPr>
          <w:i/>
          <w:sz w:val="24"/>
          <w:szCs w:val="24"/>
          <w:highlight w:val="white"/>
        </w:rPr>
        <w:instrText xml:space="preserve">Application of the Convention on the Prevention and Punishment of the Crime of Genocide </w:instrText>
      </w:r>
      <w:r w:rsidR="001A6E1C" w:rsidRPr="001347F6">
        <w:rPr>
          <w:sz w:val="24"/>
          <w:szCs w:val="24"/>
          <w:highlight w:val="white"/>
        </w:rPr>
        <w:instrText xml:space="preserve">(The Gambia v. Myanmar) (Declaration of Judge Ad Hoc Kreß) [2022] </w:instrText>
      </w:r>
      <w:r w:rsidR="001A6E1C" w:rsidRPr="001347F6">
        <w:rPr>
          <w:sz w:val="24"/>
          <w:szCs w:val="24"/>
        </w:rPr>
        <w:instrText xml:space="preserve">ICJ Rep 545" \s "(The Gambia v. Myanmar) (Declaration of Judge Ad Hoc Kreß)" \c 1 </w:instrText>
      </w:r>
      <w:r w:rsidR="001A6E1C" w:rsidRPr="001347F6">
        <w:rPr>
          <w:sz w:val="24"/>
          <w:szCs w:val="24"/>
        </w:rPr>
        <w:fldChar w:fldCharType="end"/>
      </w:r>
      <w:r w:rsidRPr="001347F6">
        <w:rPr>
          <w:sz w:val="24"/>
          <w:szCs w:val="24"/>
          <w:highlight w:val="white"/>
        </w:rPr>
        <w:t xml:space="preserve"> [16]; </w:t>
      </w:r>
      <w:r w:rsidRPr="001347F6">
        <w:rPr>
          <w:sz w:val="24"/>
          <w:szCs w:val="24"/>
        </w:rPr>
        <w:t xml:space="preserve">Chow, P. </w:t>
      </w:r>
      <w:r w:rsidRPr="001347F6">
        <w:rPr>
          <w:i/>
          <w:sz w:val="24"/>
          <w:szCs w:val="24"/>
        </w:rPr>
        <w:t xml:space="preserve">On Obligations Erga Omnes Partes </w:t>
      </w:r>
      <w:r w:rsidRPr="001347F6">
        <w:rPr>
          <w:sz w:val="24"/>
          <w:szCs w:val="24"/>
        </w:rPr>
        <w:t>(GJIL, 2020)</w:t>
      </w:r>
      <w:r w:rsidR="001A6E1C" w:rsidRPr="001347F6">
        <w:rPr>
          <w:sz w:val="24"/>
          <w:szCs w:val="24"/>
        </w:rPr>
        <w:fldChar w:fldCharType="begin"/>
      </w:r>
      <w:r w:rsidR="001A6E1C" w:rsidRPr="001347F6">
        <w:rPr>
          <w:sz w:val="24"/>
          <w:szCs w:val="24"/>
        </w:rPr>
        <w:instrText xml:space="preserve"> TA \l "Chow, P. </w:instrText>
      </w:r>
      <w:r w:rsidR="001A6E1C" w:rsidRPr="001347F6">
        <w:rPr>
          <w:i/>
          <w:sz w:val="24"/>
          <w:szCs w:val="24"/>
        </w:rPr>
        <w:instrText xml:space="preserve">On Obligations Erga Omnes Partes </w:instrText>
      </w:r>
      <w:r w:rsidR="001A6E1C" w:rsidRPr="001347F6">
        <w:rPr>
          <w:sz w:val="24"/>
          <w:szCs w:val="24"/>
        </w:rPr>
        <w:instrText xml:space="preserve">(GJIL, 2020)" \s "Chow, P. On Obligations Erga Omnes Partes" \c 6 </w:instrText>
      </w:r>
      <w:r w:rsidR="001A6E1C" w:rsidRPr="001347F6">
        <w:rPr>
          <w:sz w:val="24"/>
          <w:szCs w:val="24"/>
        </w:rPr>
        <w:fldChar w:fldCharType="end"/>
      </w:r>
      <w:r w:rsidRPr="001347F6">
        <w:rPr>
          <w:sz w:val="24"/>
          <w:szCs w:val="24"/>
        </w:rPr>
        <w:t xml:space="preserve"> pp. 497; </w:t>
      </w:r>
      <w:r w:rsidRPr="001347F6">
        <w:rPr>
          <w:i/>
          <w:sz w:val="24"/>
          <w:szCs w:val="24"/>
          <w:highlight w:val="white"/>
        </w:rPr>
        <w:t>Belgium v Senegal</w:t>
      </w:r>
      <w:r w:rsidR="00883AB5" w:rsidRPr="001347F6">
        <w:rPr>
          <w:i/>
          <w:sz w:val="24"/>
          <w:szCs w:val="24"/>
          <w:highlight w:val="white"/>
        </w:rPr>
        <w:fldChar w:fldCharType="begin"/>
      </w:r>
      <w:r w:rsidR="00883AB5" w:rsidRPr="001347F6">
        <w:rPr>
          <w:i/>
          <w:sz w:val="24"/>
          <w:szCs w:val="24"/>
          <w:highlight w:val="white"/>
        </w:rPr>
        <w:instrText xml:space="preserve"> TA \s "Belgium v Senegal" </w:instrText>
      </w:r>
      <w:r w:rsidR="00883AB5" w:rsidRPr="001347F6">
        <w:rPr>
          <w:i/>
          <w:sz w:val="24"/>
          <w:szCs w:val="24"/>
          <w:highlight w:val="white"/>
        </w:rPr>
        <w:fldChar w:fldCharType="end"/>
      </w:r>
      <w:r w:rsidRPr="001347F6">
        <w:rPr>
          <w:sz w:val="24"/>
          <w:szCs w:val="24"/>
          <w:highlight w:val="white"/>
        </w:rPr>
        <w:t xml:space="preserve"> [69].</w:t>
      </w:r>
    </w:p>
    <w:p w14:paraId="212833AD" w14:textId="77777777" w:rsidR="008C2177" w:rsidRPr="001347F6" w:rsidRDefault="008C2177" w:rsidP="001347F6">
      <w:pPr>
        <w:widowControl/>
        <w:jc w:val="both"/>
        <w:rPr>
          <w:sz w:val="24"/>
          <w:szCs w:val="24"/>
          <w:highlight w:val="white"/>
        </w:rPr>
      </w:pPr>
    </w:p>
  </w:footnote>
  <w:footnote w:id="8">
    <w:p w14:paraId="1E532E12" w14:textId="08EC85EB" w:rsidR="008C2177" w:rsidRPr="001347F6" w:rsidRDefault="00000000" w:rsidP="001347F6">
      <w:pPr>
        <w:widowControl/>
        <w:jc w:val="both"/>
        <w:rPr>
          <w:sz w:val="24"/>
          <w:szCs w:val="24"/>
          <w:highlight w:val="white"/>
        </w:rPr>
      </w:pPr>
      <w:r w:rsidRPr="001347F6">
        <w:rPr>
          <w:sz w:val="24"/>
          <w:szCs w:val="24"/>
          <w:vertAlign w:val="superscript"/>
        </w:rPr>
        <w:footnoteRef/>
      </w:r>
      <w:r w:rsidRPr="001347F6">
        <w:rPr>
          <w:sz w:val="24"/>
          <w:szCs w:val="24"/>
          <w:highlight w:val="white"/>
        </w:rPr>
        <w:t xml:space="preserve"> </w:t>
      </w:r>
      <w:r w:rsidRPr="001347F6">
        <w:rPr>
          <w:i/>
          <w:sz w:val="24"/>
          <w:szCs w:val="24"/>
          <w:highlight w:val="white"/>
        </w:rPr>
        <w:t xml:space="preserve">Prosecutor v. Blaskić, </w:t>
      </w:r>
      <w:r w:rsidRPr="001347F6">
        <w:rPr>
          <w:sz w:val="24"/>
          <w:szCs w:val="24"/>
          <w:highlight w:val="white"/>
        </w:rPr>
        <w:t>ICTY-95-14 (29 October 1997)</w:t>
      </w:r>
      <w:r w:rsidR="0038530D" w:rsidRPr="001347F6">
        <w:rPr>
          <w:sz w:val="24"/>
          <w:szCs w:val="24"/>
          <w:highlight w:val="white"/>
        </w:rPr>
        <w:fldChar w:fldCharType="begin"/>
      </w:r>
      <w:r w:rsidR="0038530D" w:rsidRPr="001347F6">
        <w:rPr>
          <w:sz w:val="24"/>
          <w:szCs w:val="24"/>
        </w:rPr>
        <w:instrText xml:space="preserve"> TA \l "</w:instrText>
      </w:r>
      <w:r w:rsidR="0038530D" w:rsidRPr="001347F6">
        <w:rPr>
          <w:i/>
          <w:sz w:val="24"/>
          <w:szCs w:val="24"/>
          <w:highlight w:val="white"/>
        </w:rPr>
        <w:instrText xml:space="preserve">Prosecutor v. Blaskić, </w:instrText>
      </w:r>
      <w:r w:rsidR="0038530D" w:rsidRPr="001347F6">
        <w:rPr>
          <w:sz w:val="24"/>
          <w:szCs w:val="24"/>
          <w:highlight w:val="white"/>
        </w:rPr>
        <w:instrText>ICTY-95-14 (29 October 1997)</w:instrText>
      </w:r>
      <w:r w:rsidR="0038530D" w:rsidRPr="001347F6">
        <w:rPr>
          <w:sz w:val="24"/>
          <w:szCs w:val="24"/>
        </w:rPr>
        <w:instrText xml:space="preserve">" \s "Prosecutor v. Blaskić" \c 4 </w:instrText>
      </w:r>
      <w:r w:rsidR="0038530D" w:rsidRPr="001347F6">
        <w:rPr>
          <w:sz w:val="24"/>
          <w:szCs w:val="24"/>
          <w:highlight w:val="white"/>
        </w:rPr>
        <w:fldChar w:fldCharType="end"/>
      </w:r>
      <w:r w:rsidRPr="001347F6">
        <w:rPr>
          <w:sz w:val="24"/>
          <w:szCs w:val="24"/>
          <w:highlight w:val="white"/>
        </w:rPr>
        <w:t xml:space="preserve"> </w:t>
      </w:r>
      <w:r w:rsidRPr="001347F6">
        <w:rPr>
          <w:sz w:val="24"/>
          <w:szCs w:val="24"/>
        </w:rPr>
        <w:t xml:space="preserve">[26]; </w:t>
      </w:r>
      <w:r w:rsidRPr="001347F6">
        <w:rPr>
          <w:i/>
          <w:sz w:val="24"/>
          <w:szCs w:val="24"/>
          <w:highlight w:val="white"/>
        </w:rPr>
        <w:t>Prosecutor v. Nzabonimana</w:t>
      </w:r>
      <w:r w:rsidRPr="001347F6">
        <w:rPr>
          <w:sz w:val="24"/>
          <w:szCs w:val="24"/>
          <w:highlight w:val="white"/>
        </w:rPr>
        <w:t>, ICTR-98-44 (4 March 2010)</w:t>
      </w:r>
      <w:r w:rsidR="0038530D" w:rsidRPr="001347F6">
        <w:rPr>
          <w:sz w:val="24"/>
          <w:szCs w:val="24"/>
          <w:highlight w:val="white"/>
        </w:rPr>
        <w:fldChar w:fldCharType="begin"/>
      </w:r>
      <w:r w:rsidR="0038530D" w:rsidRPr="001347F6">
        <w:rPr>
          <w:sz w:val="24"/>
          <w:szCs w:val="24"/>
        </w:rPr>
        <w:instrText xml:space="preserve"> TA \l "</w:instrText>
      </w:r>
      <w:r w:rsidR="0038530D" w:rsidRPr="001347F6">
        <w:rPr>
          <w:i/>
          <w:sz w:val="24"/>
          <w:szCs w:val="24"/>
          <w:highlight w:val="white"/>
        </w:rPr>
        <w:instrText>Prosecutor v. Nzabonimana</w:instrText>
      </w:r>
      <w:r w:rsidR="0038530D" w:rsidRPr="001347F6">
        <w:rPr>
          <w:sz w:val="24"/>
          <w:szCs w:val="24"/>
          <w:highlight w:val="white"/>
        </w:rPr>
        <w:instrText>, ICTR-98-44 (4 March 2010)</w:instrText>
      </w:r>
      <w:r w:rsidR="0038530D" w:rsidRPr="001347F6">
        <w:rPr>
          <w:sz w:val="24"/>
          <w:szCs w:val="24"/>
        </w:rPr>
        <w:instrText xml:space="preserve">" \s "Prosecutor v. Nzabonimana" \c 4 </w:instrText>
      </w:r>
      <w:r w:rsidR="0038530D" w:rsidRPr="001347F6">
        <w:rPr>
          <w:sz w:val="24"/>
          <w:szCs w:val="24"/>
          <w:highlight w:val="white"/>
        </w:rPr>
        <w:fldChar w:fldCharType="end"/>
      </w:r>
      <w:r w:rsidRPr="001347F6">
        <w:rPr>
          <w:sz w:val="24"/>
          <w:szCs w:val="24"/>
          <w:highlight w:val="white"/>
        </w:rPr>
        <w:t xml:space="preserve"> </w:t>
      </w:r>
      <w:r w:rsidRPr="001347F6">
        <w:rPr>
          <w:sz w:val="24"/>
          <w:szCs w:val="24"/>
        </w:rPr>
        <w:t>[29].</w:t>
      </w:r>
    </w:p>
    <w:p w14:paraId="781B212F" w14:textId="77777777" w:rsidR="008C2177" w:rsidRPr="001347F6" w:rsidRDefault="008C2177" w:rsidP="001347F6">
      <w:pPr>
        <w:widowControl/>
        <w:shd w:val="clear" w:color="auto" w:fill="FFFFFF"/>
        <w:jc w:val="both"/>
        <w:rPr>
          <w:sz w:val="24"/>
          <w:szCs w:val="24"/>
          <w:highlight w:val="white"/>
        </w:rPr>
      </w:pPr>
    </w:p>
  </w:footnote>
  <w:footnote w:id="9">
    <w:p w14:paraId="43D4EE34" w14:textId="727C587E" w:rsidR="008C2177" w:rsidRPr="001347F6" w:rsidRDefault="00000000" w:rsidP="001347F6">
      <w:pPr>
        <w:widowControl/>
        <w:jc w:val="both"/>
        <w:rPr>
          <w:sz w:val="24"/>
          <w:szCs w:val="24"/>
          <w:highlight w:val="white"/>
        </w:rPr>
      </w:pPr>
      <w:r w:rsidRPr="001347F6">
        <w:rPr>
          <w:sz w:val="24"/>
          <w:szCs w:val="24"/>
          <w:vertAlign w:val="superscript"/>
        </w:rPr>
        <w:footnoteRef/>
      </w:r>
      <w:r w:rsidRPr="001347F6">
        <w:rPr>
          <w:sz w:val="24"/>
          <w:szCs w:val="24"/>
          <w:highlight w:val="white"/>
        </w:rPr>
        <w:t xml:space="preserve"> </w:t>
      </w:r>
      <w:r w:rsidRPr="001347F6">
        <w:rPr>
          <w:i/>
          <w:sz w:val="24"/>
          <w:szCs w:val="24"/>
          <w:highlight w:val="white"/>
        </w:rPr>
        <w:t xml:space="preserve">Application of the Convention against Torture and Other Cruel, Inhuman or Degrading Treatment or Punishment </w:t>
      </w:r>
      <w:r w:rsidRPr="001347F6">
        <w:rPr>
          <w:sz w:val="24"/>
          <w:szCs w:val="24"/>
          <w:highlight w:val="white"/>
        </w:rPr>
        <w:t xml:space="preserve">(Canada and the Netherlands v. Syrian Arab Republic) (Provisional Measures) [2023] </w:t>
      </w:r>
      <w:r w:rsidRPr="001347F6">
        <w:rPr>
          <w:sz w:val="24"/>
          <w:szCs w:val="24"/>
        </w:rPr>
        <w:t>ICJ Rep 14</w:t>
      </w:r>
      <w:r w:rsidR="0038530D" w:rsidRPr="001347F6">
        <w:rPr>
          <w:sz w:val="24"/>
          <w:szCs w:val="24"/>
        </w:rPr>
        <w:fldChar w:fldCharType="begin"/>
      </w:r>
      <w:r w:rsidR="0038530D" w:rsidRPr="001347F6">
        <w:rPr>
          <w:sz w:val="24"/>
          <w:szCs w:val="24"/>
        </w:rPr>
        <w:instrText xml:space="preserve"> TA \l "</w:instrText>
      </w:r>
      <w:r w:rsidR="0038530D" w:rsidRPr="001347F6">
        <w:rPr>
          <w:i/>
          <w:sz w:val="24"/>
          <w:szCs w:val="24"/>
          <w:highlight w:val="white"/>
        </w:rPr>
        <w:instrText xml:space="preserve">Application of the Convention against Torture and Other Cruel, Inhuman or Degrading Treatment or Punishment </w:instrText>
      </w:r>
      <w:r w:rsidR="0038530D" w:rsidRPr="001347F6">
        <w:rPr>
          <w:sz w:val="24"/>
          <w:szCs w:val="24"/>
          <w:highlight w:val="white"/>
        </w:rPr>
        <w:instrText xml:space="preserve">(Canada and the Netherlands v. Syrian Arab Republic) (Provisional Measures) [2023] </w:instrText>
      </w:r>
      <w:r w:rsidR="0038530D" w:rsidRPr="001347F6">
        <w:rPr>
          <w:sz w:val="24"/>
          <w:szCs w:val="24"/>
        </w:rPr>
        <w:instrText xml:space="preserve">ICJ Rep 14" \s "Application of the Convention against Torture and Other Cruel, Inhuman or Degrading Treatment or Punishment" \c 1 </w:instrText>
      </w:r>
      <w:r w:rsidR="0038530D" w:rsidRPr="001347F6">
        <w:rPr>
          <w:sz w:val="24"/>
          <w:szCs w:val="24"/>
        </w:rPr>
        <w:fldChar w:fldCharType="end"/>
      </w:r>
      <w:r w:rsidRPr="001347F6">
        <w:rPr>
          <w:sz w:val="24"/>
          <w:szCs w:val="24"/>
        </w:rPr>
        <w:t xml:space="preserve"> </w:t>
      </w:r>
      <w:r w:rsidRPr="001347F6">
        <w:rPr>
          <w:sz w:val="24"/>
          <w:szCs w:val="24"/>
          <w:highlight w:val="white"/>
        </w:rPr>
        <w:t xml:space="preserve">[50]-[51]; </w:t>
      </w:r>
      <w:r w:rsidRPr="001347F6">
        <w:rPr>
          <w:i/>
          <w:sz w:val="24"/>
          <w:szCs w:val="24"/>
          <w:highlight w:val="white"/>
        </w:rPr>
        <w:t>S.S. Wimbledon</w:t>
      </w:r>
      <w:r w:rsidRPr="001347F6">
        <w:rPr>
          <w:sz w:val="24"/>
          <w:szCs w:val="24"/>
          <w:highlight w:val="white"/>
        </w:rPr>
        <w:t xml:space="preserve"> case (United Kingdom, France, </w:t>
      </w:r>
      <w:r w:rsidR="00152651" w:rsidRPr="001347F6">
        <w:rPr>
          <w:sz w:val="24"/>
          <w:szCs w:val="24"/>
          <w:highlight w:val="white"/>
        </w:rPr>
        <w:t>Italy, Japan</w:t>
      </w:r>
      <w:r w:rsidRPr="001347F6">
        <w:rPr>
          <w:sz w:val="24"/>
          <w:szCs w:val="24"/>
          <w:highlight w:val="white"/>
        </w:rPr>
        <w:t xml:space="preserve"> v. Germany) (Judgment) (1923) PCIJ Series A, No. 1,</w:t>
      </w:r>
      <w:r w:rsidR="0038530D" w:rsidRPr="001347F6">
        <w:rPr>
          <w:sz w:val="24"/>
          <w:szCs w:val="24"/>
          <w:highlight w:val="white"/>
        </w:rPr>
        <w:fldChar w:fldCharType="begin"/>
      </w:r>
      <w:r w:rsidR="0038530D" w:rsidRPr="001347F6">
        <w:rPr>
          <w:sz w:val="24"/>
          <w:szCs w:val="24"/>
        </w:rPr>
        <w:instrText xml:space="preserve"> TA \l "</w:instrText>
      </w:r>
      <w:r w:rsidR="0038530D" w:rsidRPr="001347F6">
        <w:rPr>
          <w:i/>
          <w:sz w:val="24"/>
          <w:szCs w:val="24"/>
          <w:highlight w:val="white"/>
        </w:rPr>
        <w:instrText>S.S. Wimbledon</w:instrText>
      </w:r>
      <w:r w:rsidR="0038530D" w:rsidRPr="001347F6">
        <w:rPr>
          <w:sz w:val="24"/>
          <w:szCs w:val="24"/>
          <w:highlight w:val="white"/>
        </w:rPr>
        <w:instrText xml:space="preserve"> case (United Kingdom, France, Italy, Japan v. Germany) (Judgment) (1923) PCIJ Series A, No. 1,</w:instrText>
      </w:r>
      <w:r w:rsidR="0038530D" w:rsidRPr="001347F6">
        <w:rPr>
          <w:sz w:val="24"/>
          <w:szCs w:val="24"/>
        </w:rPr>
        <w:instrText xml:space="preserve">" \s "S.S. Wimbledon case" \c 1 </w:instrText>
      </w:r>
      <w:r w:rsidR="0038530D" w:rsidRPr="001347F6">
        <w:rPr>
          <w:sz w:val="24"/>
          <w:szCs w:val="24"/>
          <w:highlight w:val="white"/>
        </w:rPr>
        <w:fldChar w:fldCharType="end"/>
      </w:r>
      <w:r w:rsidRPr="001347F6">
        <w:rPr>
          <w:sz w:val="24"/>
          <w:szCs w:val="24"/>
          <w:highlight w:val="white"/>
        </w:rPr>
        <w:t xml:space="preserve"> pp. 6.</w:t>
      </w:r>
    </w:p>
    <w:p w14:paraId="5AC30A8B" w14:textId="77777777" w:rsidR="008C2177" w:rsidRPr="001347F6" w:rsidRDefault="008C2177" w:rsidP="001347F6">
      <w:pPr>
        <w:widowControl/>
        <w:jc w:val="both"/>
        <w:rPr>
          <w:sz w:val="24"/>
          <w:szCs w:val="24"/>
          <w:highlight w:val="white"/>
        </w:rPr>
      </w:pPr>
    </w:p>
  </w:footnote>
  <w:footnote w:id="10">
    <w:p w14:paraId="30DC4051" w14:textId="637AEA6E" w:rsidR="008C2177"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w:t>
      </w:r>
      <w:r w:rsidRPr="001347F6">
        <w:rPr>
          <w:sz w:val="24"/>
          <w:szCs w:val="24"/>
          <w:highlight w:val="white"/>
        </w:rPr>
        <w:t xml:space="preserve"> </w:t>
      </w:r>
      <w:r w:rsidR="000E212C" w:rsidRPr="001347F6">
        <w:rPr>
          <w:sz w:val="24"/>
          <w:szCs w:val="24"/>
          <w:highlight w:val="white"/>
        </w:rPr>
        <w:fldChar w:fldCharType="begin"/>
      </w:r>
      <w:r w:rsidR="000E212C" w:rsidRPr="001347F6">
        <w:rPr>
          <w:sz w:val="24"/>
          <w:szCs w:val="24"/>
        </w:rPr>
        <w:instrText xml:space="preserve"> TA \l "</w:instrText>
      </w:r>
      <w:r w:rsidR="000E212C" w:rsidRPr="001347F6">
        <w:rPr>
          <w:sz w:val="24"/>
          <w:szCs w:val="24"/>
          <w:highlight w:val="white"/>
        </w:rPr>
        <w:instrText xml:space="preserve">Convention on the Reduction of Statelessness, (adopted 30 August 1961, </w:instrText>
      </w:r>
      <w:r w:rsidR="000E212C" w:rsidRPr="001347F6">
        <w:rPr>
          <w:sz w:val="24"/>
          <w:szCs w:val="24"/>
        </w:rPr>
        <w:instrText xml:space="preserve">entered into force </w:instrText>
      </w:r>
      <w:r w:rsidR="000E212C" w:rsidRPr="001347F6">
        <w:rPr>
          <w:sz w:val="24"/>
          <w:szCs w:val="24"/>
          <w:highlight w:val="white"/>
        </w:rPr>
        <w:instrText>13 December 1975) 989 UNTS 175 [‘CRS’]</w:instrText>
      </w:r>
      <w:r w:rsidR="000E212C" w:rsidRPr="001347F6">
        <w:rPr>
          <w:sz w:val="24"/>
          <w:szCs w:val="24"/>
        </w:rPr>
        <w:instrText xml:space="preserve">" \s "CRS," \c 2 </w:instrText>
      </w:r>
      <w:r w:rsidR="000E212C" w:rsidRPr="001347F6">
        <w:rPr>
          <w:sz w:val="24"/>
          <w:szCs w:val="24"/>
          <w:highlight w:val="white"/>
        </w:rPr>
        <w:fldChar w:fldCharType="end"/>
      </w:r>
      <w:r w:rsidRPr="001347F6">
        <w:rPr>
          <w:sz w:val="24"/>
          <w:szCs w:val="24"/>
          <w:highlight w:val="white"/>
        </w:rPr>
        <w:t xml:space="preserve">Convention on the Reduction of Statelessness, (adopted 30 August 1961, </w:t>
      </w:r>
      <w:r w:rsidRPr="001347F6">
        <w:rPr>
          <w:sz w:val="24"/>
          <w:szCs w:val="24"/>
        </w:rPr>
        <w:t xml:space="preserve">entered into force </w:t>
      </w:r>
      <w:r w:rsidRPr="001347F6">
        <w:rPr>
          <w:sz w:val="24"/>
          <w:szCs w:val="24"/>
          <w:highlight w:val="white"/>
        </w:rPr>
        <w:t>13 December 1975) 989 UNTS 175 [‘CRS’</w:t>
      </w:r>
      <w:r w:rsidR="00B16E0A" w:rsidRPr="001347F6">
        <w:rPr>
          <w:sz w:val="24"/>
          <w:szCs w:val="24"/>
          <w:highlight w:val="white"/>
        </w:rPr>
        <w:t>],</w:t>
      </w:r>
      <w:r w:rsidRPr="001347F6">
        <w:rPr>
          <w:sz w:val="24"/>
          <w:szCs w:val="24"/>
          <w:highlight w:val="white"/>
        </w:rPr>
        <w:t xml:space="preserve"> Preamble.</w:t>
      </w:r>
    </w:p>
    <w:p w14:paraId="41CEACF6" w14:textId="77777777" w:rsidR="001347F6" w:rsidRPr="001347F6" w:rsidRDefault="001347F6" w:rsidP="001347F6">
      <w:pPr>
        <w:widowControl/>
        <w:jc w:val="both"/>
        <w:rPr>
          <w:sz w:val="24"/>
          <w:szCs w:val="24"/>
        </w:rPr>
      </w:pPr>
    </w:p>
  </w:footnote>
  <w:footnote w:id="11">
    <w:p w14:paraId="0C9C2D75" w14:textId="79E63407"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w:t>
      </w:r>
      <w:r w:rsidRPr="001347F6">
        <w:rPr>
          <w:sz w:val="24"/>
          <w:szCs w:val="24"/>
          <w:highlight w:val="white"/>
        </w:rPr>
        <w:t>CRS</w:t>
      </w:r>
      <w:r w:rsidR="00B16E0A" w:rsidRPr="001347F6">
        <w:rPr>
          <w:sz w:val="24"/>
          <w:szCs w:val="24"/>
          <w:highlight w:val="white"/>
        </w:rPr>
        <w:t>,</w:t>
      </w:r>
      <w:r w:rsidR="000E212C" w:rsidRPr="001347F6">
        <w:rPr>
          <w:sz w:val="24"/>
          <w:szCs w:val="24"/>
          <w:highlight w:val="white"/>
        </w:rPr>
        <w:fldChar w:fldCharType="begin"/>
      </w:r>
      <w:r w:rsidR="000E212C" w:rsidRPr="001347F6">
        <w:rPr>
          <w:sz w:val="24"/>
          <w:szCs w:val="24"/>
          <w:highlight w:val="white"/>
        </w:rPr>
        <w:instrText xml:space="preserve"> TA \s "CRS," </w:instrText>
      </w:r>
      <w:r w:rsidR="000E212C" w:rsidRPr="001347F6">
        <w:rPr>
          <w:sz w:val="24"/>
          <w:szCs w:val="24"/>
          <w:highlight w:val="white"/>
        </w:rPr>
        <w:fldChar w:fldCharType="end"/>
      </w:r>
      <w:r w:rsidRPr="001347F6">
        <w:rPr>
          <w:sz w:val="24"/>
          <w:szCs w:val="24"/>
          <w:highlight w:val="white"/>
        </w:rPr>
        <w:t xml:space="preserve"> Art 8(1).</w:t>
      </w:r>
    </w:p>
    <w:p w14:paraId="5E88A6A9" w14:textId="77777777" w:rsidR="008C2177" w:rsidRPr="001347F6" w:rsidRDefault="008C2177" w:rsidP="001347F6">
      <w:pPr>
        <w:widowControl/>
        <w:jc w:val="both"/>
        <w:rPr>
          <w:sz w:val="24"/>
          <w:szCs w:val="24"/>
        </w:rPr>
      </w:pPr>
    </w:p>
  </w:footnote>
  <w:footnote w:id="12">
    <w:p w14:paraId="3B6E9456" w14:textId="6588CF4B"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w:t>
      </w:r>
      <w:r w:rsidRPr="001347F6">
        <w:rPr>
          <w:sz w:val="24"/>
          <w:szCs w:val="24"/>
          <w:highlight w:val="white"/>
        </w:rPr>
        <w:t>CRS</w:t>
      </w:r>
      <w:r w:rsidR="00B16E0A" w:rsidRPr="001347F6">
        <w:rPr>
          <w:sz w:val="24"/>
          <w:szCs w:val="24"/>
          <w:highlight w:val="white"/>
        </w:rPr>
        <w:t>,</w:t>
      </w:r>
      <w:r w:rsidR="000E212C" w:rsidRPr="001347F6">
        <w:rPr>
          <w:sz w:val="24"/>
          <w:szCs w:val="24"/>
          <w:highlight w:val="white"/>
        </w:rPr>
        <w:fldChar w:fldCharType="begin"/>
      </w:r>
      <w:r w:rsidR="000E212C" w:rsidRPr="001347F6">
        <w:rPr>
          <w:sz w:val="24"/>
          <w:szCs w:val="24"/>
          <w:highlight w:val="white"/>
        </w:rPr>
        <w:instrText xml:space="preserve"> TA \s "CRS," </w:instrText>
      </w:r>
      <w:r w:rsidR="000E212C" w:rsidRPr="001347F6">
        <w:rPr>
          <w:sz w:val="24"/>
          <w:szCs w:val="24"/>
          <w:highlight w:val="white"/>
        </w:rPr>
        <w:fldChar w:fldCharType="end"/>
      </w:r>
      <w:r w:rsidRPr="001347F6">
        <w:rPr>
          <w:sz w:val="24"/>
          <w:szCs w:val="24"/>
          <w:highlight w:val="white"/>
        </w:rPr>
        <w:t xml:space="preserve"> Art 9.</w:t>
      </w:r>
    </w:p>
    <w:p w14:paraId="1C3D7326" w14:textId="77777777" w:rsidR="008C2177" w:rsidRPr="001347F6" w:rsidRDefault="008C2177" w:rsidP="001347F6">
      <w:pPr>
        <w:widowControl/>
        <w:jc w:val="both"/>
        <w:rPr>
          <w:sz w:val="24"/>
          <w:szCs w:val="24"/>
        </w:rPr>
      </w:pPr>
    </w:p>
  </w:footnote>
  <w:footnote w:id="13">
    <w:p w14:paraId="7C772C5A" w14:textId="6358B006" w:rsidR="008C2177" w:rsidRPr="001347F6" w:rsidRDefault="00000000" w:rsidP="001347F6">
      <w:pPr>
        <w:widowControl/>
        <w:jc w:val="both"/>
        <w:rPr>
          <w:sz w:val="24"/>
          <w:szCs w:val="24"/>
          <w:highlight w:val="white"/>
        </w:rPr>
      </w:pPr>
      <w:r w:rsidRPr="001347F6">
        <w:rPr>
          <w:sz w:val="24"/>
          <w:szCs w:val="24"/>
          <w:vertAlign w:val="superscript"/>
        </w:rPr>
        <w:footnoteRef/>
      </w:r>
      <w:r w:rsidRPr="001347F6">
        <w:rPr>
          <w:sz w:val="24"/>
          <w:szCs w:val="24"/>
          <w:highlight w:val="white"/>
        </w:rPr>
        <w:t xml:space="preserve"> ‘United Nations Conference on the Elimination or Reduction of Future Statelessness’ </w:t>
      </w:r>
      <w:r w:rsidRPr="001347F6">
        <w:rPr>
          <w:sz w:val="24"/>
          <w:szCs w:val="24"/>
        </w:rPr>
        <w:t>(24 April 1961)</w:t>
      </w:r>
      <w:r w:rsidRPr="001347F6">
        <w:rPr>
          <w:sz w:val="24"/>
          <w:szCs w:val="24"/>
          <w:highlight w:val="white"/>
        </w:rPr>
        <w:t xml:space="preserve"> UN Doc A/CONF.9/C.1/SR.2</w:t>
      </w:r>
      <w:r w:rsidR="00A749D7" w:rsidRPr="001347F6">
        <w:rPr>
          <w:sz w:val="24"/>
          <w:szCs w:val="24"/>
          <w:highlight w:val="white"/>
        </w:rPr>
        <w:fldChar w:fldCharType="begin"/>
      </w:r>
      <w:r w:rsidR="00A749D7" w:rsidRPr="001347F6">
        <w:rPr>
          <w:sz w:val="24"/>
          <w:szCs w:val="24"/>
        </w:rPr>
        <w:instrText xml:space="preserve"> TA \l "</w:instrText>
      </w:r>
      <w:r w:rsidR="00A749D7" w:rsidRPr="001347F6">
        <w:rPr>
          <w:sz w:val="24"/>
          <w:szCs w:val="24"/>
          <w:highlight w:val="white"/>
        </w:rPr>
        <w:instrText xml:space="preserve">‘United Nations Conference on the Elimination or Reduction of Future Statelessness’ </w:instrText>
      </w:r>
      <w:r w:rsidR="00A749D7" w:rsidRPr="001347F6">
        <w:rPr>
          <w:sz w:val="24"/>
          <w:szCs w:val="24"/>
        </w:rPr>
        <w:instrText>(24 April 1961)</w:instrText>
      </w:r>
      <w:r w:rsidR="00A749D7" w:rsidRPr="001347F6">
        <w:rPr>
          <w:sz w:val="24"/>
          <w:szCs w:val="24"/>
          <w:highlight w:val="white"/>
        </w:rPr>
        <w:instrText xml:space="preserve"> UN Doc A/CONF.9/C.1/SR.2</w:instrText>
      </w:r>
      <w:r w:rsidR="00A749D7" w:rsidRPr="001347F6">
        <w:rPr>
          <w:sz w:val="24"/>
          <w:szCs w:val="24"/>
        </w:rPr>
        <w:instrText xml:space="preserve">" \s "A/CONF.9/C.1/SR.2" \c 3 </w:instrText>
      </w:r>
      <w:r w:rsidR="00A749D7" w:rsidRPr="001347F6">
        <w:rPr>
          <w:sz w:val="24"/>
          <w:szCs w:val="24"/>
          <w:highlight w:val="white"/>
        </w:rPr>
        <w:fldChar w:fldCharType="end"/>
      </w:r>
      <w:r w:rsidRPr="001347F6">
        <w:rPr>
          <w:sz w:val="24"/>
          <w:szCs w:val="24"/>
          <w:highlight w:val="white"/>
        </w:rPr>
        <w:t xml:space="preserve">, pp. 3; </w:t>
      </w:r>
      <w:r w:rsidR="001F6B71" w:rsidRPr="001347F6">
        <w:rPr>
          <w:sz w:val="24"/>
          <w:szCs w:val="24"/>
          <w:highlight w:val="white"/>
        </w:rPr>
        <w:t>Vienna Convention on the Law of Treaties (adopted 23 May 1969) 1155 UNTS 331 [‘VCLT’]</w:t>
      </w:r>
      <w:r w:rsidR="000B5DB7" w:rsidRPr="001347F6">
        <w:rPr>
          <w:sz w:val="24"/>
          <w:szCs w:val="24"/>
          <w:highlight w:val="white"/>
        </w:rPr>
        <w:fldChar w:fldCharType="begin"/>
      </w:r>
      <w:r w:rsidR="000B5DB7" w:rsidRPr="001347F6">
        <w:rPr>
          <w:sz w:val="24"/>
          <w:szCs w:val="24"/>
        </w:rPr>
        <w:instrText xml:space="preserve"> TA \l "</w:instrText>
      </w:r>
      <w:r w:rsidR="000B5DB7" w:rsidRPr="001347F6">
        <w:rPr>
          <w:sz w:val="24"/>
          <w:szCs w:val="24"/>
          <w:highlight w:val="white"/>
        </w:rPr>
        <w:instrText>Vienna Convention on the Law of Treaties (adopted 23 May 1969) 1155 UNTS 331 [‘VCLT’]</w:instrText>
      </w:r>
      <w:r w:rsidR="000B5DB7" w:rsidRPr="001347F6">
        <w:rPr>
          <w:sz w:val="24"/>
          <w:szCs w:val="24"/>
        </w:rPr>
        <w:instrText xml:space="preserve">" \s "VCLT," \c 2 </w:instrText>
      </w:r>
      <w:r w:rsidR="000B5DB7" w:rsidRPr="001347F6">
        <w:rPr>
          <w:sz w:val="24"/>
          <w:szCs w:val="24"/>
          <w:highlight w:val="white"/>
        </w:rPr>
        <w:fldChar w:fldCharType="end"/>
      </w:r>
      <w:r w:rsidRPr="001347F6">
        <w:rPr>
          <w:sz w:val="24"/>
          <w:szCs w:val="24"/>
          <w:highlight w:val="white"/>
        </w:rPr>
        <w:t>, Art 32.</w:t>
      </w:r>
    </w:p>
    <w:p w14:paraId="02ED77B4" w14:textId="77777777" w:rsidR="008C2177" w:rsidRPr="001347F6" w:rsidRDefault="008C2177" w:rsidP="001347F6">
      <w:pPr>
        <w:widowControl/>
        <w:jc w:val="both"/>
        <w:rPr>
          <w:sz w:val="24"/>
          <w:szCs w:val="24"/>
          <w:highlight w:val="white"/>
        </w:rPr>
      </w:pPr>
    </w:p>
  </w:footnote>
  <w:footnote w:id="14">
    <w:p w14:paraId="6B15E35E" w14:textId="0046D700"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CRS,</w:t>
      </w:r>
      <w:r w:rsidR="000E212C" w:rsidRPr="001347F6">
        <w:rPr>
          <w:sz w:val="24"/>
          <w:szCs w:val="24"/>
        </w:rPr>
        <w:fldChar w:fldCharType="begin"/>
      </w:r>
      <w:r w:rsidR="000E212C" w:rsidRPr="001347F6">
        <w:rPr>
          <w:sz w:val="24"/>
          <w:szCs w:val="24"/>
        </w:rPr>
        <w:instrText xml:space="preserve"> TA \s "CRS," </w:instrText>
      </w:r>
      <w:r w:rsidR="000E212C" w:rsidRPr="001347F6">
        <w:rPr>
          <w:sz w:val="24"/>
          <w:szCs w:val="24"/>
        </w:rPr>
        <w:fldChar w:fldCharType="end"/>
      </w:r>
      <w:r w:rsidR="00B16E0A" w:rsidRPr="001347F6">
        <w:rPr>
          <w:sz w:val="24"/>
          <w:szCs w:val="24"/>
        </w:rPr>
        <w:t xml:space="preserve"> </w:t>
      </w:r>
      <w:r w:rsidRPr="001347F6">
        <w:rPr>
          <w:sz w:val="24"/>
          <w:szCs w:val="24"/>
        </w:rPr>
        <w:t xml:space="preserve">Art 14; Tams, C. </w:t>
      </w:r>
      <w:r w:rsidRPr="001347F6">
        <w:rPr>
          <w:i/>
          <w:sz w:val="24"/>
          <w:szCs w:val="24"/>
        </w:rPr>
        <w:t>Enforcing Obligations Erga Omnes in International Law</w:t>
      </w:r>
      <w:r w:rsidRPr="001347F6">
        <w:rPr>
          <w:sz w:val="24"/>
          <w:szCs w:val="24"/>
        </w:rPr>
        <w:t xml:space="preserve"> (CUP, 2005) [</w:t>
      </w:r>
      <w:r w:rsidRPr="001347F6">
        <w:rPr>
          <w:i/>
          <w:sz w:val="24"/>
          <w:szCs w:val="24"/>
        </w:rPr>
        <w:t>‘Tams 2005’</w:t>
      </w:r>
      <w:r w:rsidRPr="001347F6">
        <w:rPr>
          <w:sz w:val="24"/>
          <w:szCs w:val="24"/>
        </w:rPr>
        <w:t>]</w:t>
      </w:r>
      <w:r w:rsidR="00253941" w:rsidRPr="001347F6">
        <w:rPr>
          <w:sz w:val="24"/>
          <w:szCs w:val="24"/>
        </w:rPr>
        <w:fldChar w:fldCharType="begin"/>
      </w:r>
      <w:r w:rsidR="00253941" w:rsidRPr="001347F6">
        <w:rPr>
          <w:sz w:val="24"/>
          <w:szCs w:val="24"/>
        </w:rPr>
        <w:instrText xml:space="preserve"> TA \l "Tams, C. </w:instrText>
      </w:r>
      <w:r w:rsidR="00253941" w:rsidRPr="001347F6">
        <w:rPr>
          <w:i/>
          <w:sz w:val="24"/>
          <w:szCs w:val="24"/>
        </w:rPr>
        <w:instrText>Enforcing Obligations Erga Omnes in International Law</w:instrText>
      </w:r>
      <w:r w:rsidR="00253941" w:rsidRPr="001347F6">
        <w:rPr>
          <w:sz w:val="24"/>
          <w:szCs w:val="24"/>
        </w:rPr>
        <w:instrText xml:space="preserve"> (CUP, 2005) [</w:instrText>
      </w:r>
      <w:r w:rsidR="00253941" w:rsidRPr="001347F6">
        <w:rPr>
          <w:i/>
          <w:sz w:val="24"/>
          <w:szCs w:val="24"/>
        </w:rPr>
        <w:instrText>‘Tams 2005’</w:instrText>
      </w:r>
      <w:r w:rsidR="00253941" w:rsidRPr="001347F6">
        <w:rPr>
          <w:sz w:val="24"/>
          <w:szCs w:val="24"/>
        </w:rPr>
        <w:instrText xml:space="preserve">]" \s "Tams 2005" \c 6 </w:instrText>
      </w:r>
      <w:r w:rsidR="00253941" w:rsidRPr="001347F6">
        <w:rPr>
          <w:sz w:val="24"/>
          <w:szCs w:val="24"/>
        </w:rPr>
        <w:fldChar w:fldCharType="end"/>
      </w:r>
      <w:r w:rsidRPr="001347F6">
        <w:rPr>
          <w:sz w:val="24"/>
          <w:szCs w:val="24"/>
        </w:rPr>
        <w:t xml:space="preserve"> pp. 75; Ahmadov</w:t>
      </w:r>
      <w:r w:rsidRPr="001347F6">
        <w:rPr>
          <w:sz w:val="24"/>
          <w:szCs w:val="24"/>
          <w:highlight w:val="white"/>
        </w:rPr>
        <w:t xml:space="preserve">, F. </w:t>
      </w:r>
      <w:r w:rsidRPr="001347F6">
        <w:rPr>
          <w:i/>
          <w:sz w:val="24"/>
          <w:szCs w:val="24"/>
          <w:highlight w:val="white"/>
        </w:rPr>
        <w:t>The Right of Actio Popularis before International Courts and Tribunals</w:t>
      </w:r>
      <w:r w:rsidRPr="001347F6">
        <w:rPr>
          <w:sz w:val="24"/>
          <w:szCs w:val="24"/>
          <w:highlight w:val="white"/>
        </w:rPr>
        <w:t xml:space="preserve"> (Brill Nijhoff 2018)</w:t>
      </w:r>
      <w:r w:rsidR="00916901" w:rsidRPr="001347F6">
        <w:rPr>
          <w:sz w:val="24"/>
          <w:szCs w:val="24"/>
          <w:highlight w:val="white"/>
        </w:rPr>
        <w:t>,</w:t>
      </w:r>
      <w:r w:rsidR="00253941" w:rsidRPr="001347F6">
        <w:rPr>
          <w:sz w:val="24"/>
          <w:szCs w:val="24"/>
          <w:highlight w:val="white"/>
        </w:rPr>
        <w:fldChar w:fldCharType="begin"/>
      </w:r>
      <w:r w:rsidR="00253941" w:rsidRPr="001347F6">
        <w:rPr>
          <w:sz w:val="24"/>
          <w:szCs w:val="24"/>
        </w:rPr>
        <w:instrText xml:space="preserve"> TA \l "Ahmadov</w:instrText>
      </w:r>
      <w:r w:rsidR="00253941" w:rsidRPr="001347F6">
        <w:rPr>
          <w:sz w:val="24"/>
          <w:szCs w:val="24"/>
          <w:highlight w:val="white"/>
        </w:rPr>
        <w:instrText xml:space="preserve">, F. </w:instrText>
      </w:r>
      <w:r w:rsidR="00253941" w:rsidRPr="001347F6">
        <w:rPr>
          <w:i/>
          <w:sz w:val="24"/>
          <w:szCs w:val="24"/>
          <w:highlight w:val="white"/>
        </w:rPr>
        <w:instrText>The Right of Actio Popularis before International Courts and Tribunals</w:instrText>
      </w:r>
      <w:r w:rsidR="00253941" w:rsidRPr="001347F6">
        <w:rPr>
          <w:sz w:val="24"/>
          <w:szCs w:val="24"/>
          <w:highlight w:val="white"/>
        </w:rPr>
        <w:instrText xml:space="preserve"> (Brill Nijhoff 2018)</w:instrText>
      </w:r>
      <w:r w:rsidR="00253941" w:rsidRPr="001347F6">
        <w:rPr>
          <w:sz w:val="24"/>
          <w:szCs w:val="24"/>
        </w:rPr>
        <w:instrText xml:space="preserve">" \s "Ahmadov, F." \c 6 </w:instrText>
      </w:r>
      <w:r w:rsidR="00253941" w:rsidRPr="001347F6">
        <w:rPr>
          <w:sz w:val="24"/>
          <w:szCs w:val="24"/>
          <w:highlight w:val="white"/>
        </w:rPr>
        <w:fldChar w:fldCharType="end"/>
      </w:r>
      <w:r w:rsidRPr="001347F6">
        <w:rPr>
          <w:sz w:val="24"/>
          <w:szCs w:val="24"/>
          <w:highlight w:val="white"/>
        </w:rPr>
        <w:t xml:space="preserve"> pp. 102</w:t>
      </w:r>
      <w:r w:rsidR="00916901" w:rsidRPr="001347F6">
        <w:rPr>
          <w:sz w:val="24"/>
          <w:szCs w:val="24"/>
          <w:highlight w:val="white"/>
        </w:rPr>
        <w:t>-103</w:t>
      </w:r>
      <w:r w:rsidRPr="001347F6">
        <w:rPr>
          <w:sz w:val="24"/>
          <w:szCs w:val="24"/>
          <w:highlight w:val="white"/>
        </w:rPr>
        <w:t xml:space="preserve">. </w:t>
      </w:r>
    </w:p>
    <w:p w14:paraId="41C08915" w14:textId="77777777" w:rsidR="008C2177" w:rsidRPr="001347F6" w:rsidRDefault="008C2177" w:rsidP="001347F6">
      <w:pPr>
        <w:widowControl/>
        <w:jc w:val="both"/>
        <w:rPr>
          <w:sz w:val="24"/>
          <w:szCs w:val="24"/>
        </w:rPr>
      </w:pPr>
    </w:p>
  </w:footnote>
  <w:footnote w:id="15">
    <w:p w14:paraId="1257C5D2" w14:textId="556A9448"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highlight w:val="white"/>
        </w:rPr>
        <w:t xml:space="preserve"> </w:t>
      </w:r>
      <w:r w:rsidRPr="001347F6">
        <w:rPr>
          <w:sz w:val="24"/>
          <w:szCs w:val="24"/>
        </w:rPr>
        <w:t xml:space="preserve">Hathaway, O. and Hachem, A. and Cole, J. </w:t>
      </w:r>
      <w:r w:rsidRPr="001347F6">
        <w:rPr>
          <w:i/>
          <w:sz w:val="24"/>
          <w:szCs w:val="24"/>
        </w:rPr>
        <w:t>A New Tool for Enforcing Human Rights: Erga Omnes Partes Standing</w:t>
      </w:r>
      <w:r w:rsidRPr="001347F6">
        <w:rPr>
          <w:sz w:val="24"/>
          <w:szCs w:val="24"/>
        </w:rPr>
        <w:t xml:space="preserve"> (CJTL, 2023)</w:t>
      </w:r>
      <w:r w:rsidR="00253941" w:rsidRPr="001347F6">
        <w:rPr>
          <w:sz w:val="24"/>
          <w:szCs w:val="24"/>
        </w:rPr>
        <w:fldChar w:fldCharType="begin"/>
      </w:r>
      <w:r w:rsidR="00253941" w:rsidRPr="001347F6">
        <w:rPr>
          <w:sz w:val="24"/>
          <w:szCs w:val="24"/>
        </w:rPr>
        <w:instrText xml:space="preserve"> TA \l "Hathaway, O. and Hachem, A. and Cole, J. </w:instrText>
      </w:r>
      <w:r w:rsidR="00253941" w:rsidRPr="001347F6">
        <w:rPr>
          <w:i/>
          <w:sz w:val="24"/>
          <w:szCs w:val="24"/>
        </w:rPr>
        <w:instrText>A New Tool for Enforcing Human Rights: Erga Omnes Partes Standing</w:instrText>
      </w:r>
      <w:r w:rsidR="00253941" w:rsidRPr="001347F6">
        <w:rPr>
          <w:sz w:val="24"/>
          <w:szCs w:val="24"/>
        </w:rPr>
        <w:instrText xml:space="preserve"> (CJTL, 2023)" \s "Hathaway, O. and Hachem, A. and Cole, J. A New Tool for Enforcing Human Rights: Erga Omnes Partes Standing (CJTL, 2023)" \c 6 </w:instrText>
      </w:r>
      <w:r w:rsidR="00253941" w:rsidRPr="001347F6">
        <w:rPr>
          <w:sz w:val="24"/>
          <w:szCs w:val="24"/>
        </w:rPr>
        <w:fldChar w:fldCharType="end"/>
      </w:r>
      <w:r w:rsidRPr="001347F6">
        <w:rPr>
          <w:sz w:val="24"/>
          <w:szCs w:val="24"/>
        </w:rPr>
        <w:t xml:space="preserve"> pp. 29-30; </w:t>
      </w:r>
      <w:r w:rsidRPr="001347F6">
        <w:rPr>
          <w:i/>
          <w:sz w:val="24"/>
          <w:szCs w:val="24"/>
          <w:highlight w:val="white"/>
        </w:rPr>
        <w:t>The Gambia v. Myanmar</w:t>
      </w:r>
      <w:r w:rsidR="00883AB5" w:rsidRPr="001347F6">
        <w:rPr>
          <w:i/>
          <w:sz w:val="24"/>
          <w:szCs w:val="24"/>
          <w:highlight w:val="white"/>
        </w:rPr>
        <w:fldChar w:fldCharType="begin"/>
      </w:r>
      <w:r w:rsidR="00883AB5" w:rsidRPr="001347F6">
        <w:rPr>
          <w:i/>
          <w:sz w:val="24"/>
          <w:szCs w:val="24"/>
          <w:highlight w:val="white"/>
        </w:rPr>
        <w:instrText xml:space="preserve"> TA \s "The Gambia v. Myanmar" </w:instrText>
      </w:r>
      <w:r w:rsidR="00883AB5" w:rsidRPr="001347F6">
        <w:rPr>
          <w:i/>
          <w:sz w:val="24"/>
          <w:szCs w:val="24"/>
          <w:highlight w:val="white"/>
        </w:rPr>
        <w:fldChar w:fldCharType="end"/>
      </w:r>
      <w:r w:rsidRPr="001347F6">
        <w:rPr>
          <w:i/>
          <w:sz w:val="24"/>
          <w:szCs w:val="24"/>
          <w:highlight w:val="white"/>
        </w:rPr>
        <w:t xml:space="preserve">, </w:t>
      </w:r>
      <w:r w:rsidRPr="001347F6">
        <w:rPr>
          <w:sz w:val="24"/>
          <w:szCs w:val="24"/>
          <w:highlight w:val="white"/>
        </w:rPr>
        <w:t xml:space="preserve">[111]-[112]. </w:t>
      </w:r>
    </w:p>
    <w:p w14:paraId="4C4CBEF0" w14:textId="77777777" w:rsidR="008C2177" w:rsidRPr="001347F6" w:rsidRDefault="008C2177" w:rsidP="001347F6">
      <w:pPr>
        <w:widowControl/>
        <w:jc w:val="both"/>
        <w:rPr>
          <w:sz w:val="24"/>
          <w:szCs w:val="24"/>
        </w:rPr>
      </w:pPr>
    </w:p>
  </w:footnote>
  <w:footnote w:id="16">
    <w:p w14:paraId="3745D920" w14:textId="5899138A"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CRS,</w:t>
      </w:r>
      <w:r w:rsidR="000E212C" w:rsidRPr="001347F6">
        <w:rPr>
          <w:sz w:val="24"/>
          <w:szCs w:val="24"/>
        </w:rPr>
        <w:fldChar w:fldCharType="begin"/>
      </w:r>
      <w:r w:rsidR="000E212C" w:rsidRPr="001347F6">
        <w:rPr>
          <w:sz w:val="24"/>
          <w:szCs w:val="24"/>
        </w:rPr>
        <w:instrText xml:space="preserve"> TA \s "CRS," </w:instrText>
      </w:r>
      <w:r w:rsidR="000E212C" w:rsidRPr="001347F6">
        <w:rPr>
          <w:sz w:val="24"/>
          <w:szCs w:val="24"/>
        </w:rPr>
        <w:fldChar w:fldCharType="end"/>
      </w:r>
      <w:r w:rsidR="00B16E0A" w:rsidRPr="001347F6">
        <w:rPr>
          <w:sz w:val="24"/>
          <w:szCs w:val="24"/>
        </w:rPr>
        <w:t xml:space="preserve"> </w:t>
      </w:r>
      <w:r w:rsidRPr="001347F6">
        <w:rPr>
          <w:sz w:val="24"/>
          <w:szCs w:val="24"/>
        </w:rPr>
        <w:t>Art 14.</w:t>
      </w:r>
    </w:p>
    <w:p w14:paraId="0DA77599" w14:textId="77777777" w:rsidR="008C2177" w:rsidRPr="001347F6" w:rsidRDefault="008C2177" w:rsidP="001347F6">
      <w:pPr>
        <w:widowControl/>
        <w:jc w:val="both"/>
        <w:rPr>
          <w:sz w:val="24"/>
          <w:szCs w:val="24"/>
        </w:rPr>
      </w:pPr>
    </w:p>
  </w:footnote>
  <w:footnote w:id="17">
    <w:p w14:paraId="65A5AC6A" w14:textId="6DFCF992" w:rsidR="008C2177" w:rsidRPr="001347F6" w:rsidRDefault="00000000" w:rsidP="001347F6">
      <w:pPr>
        <w:widowControl/>
        <w:jc w:val="both"/>
        <w:rPr>
          <w:sz w:val="24"/>
          <w:szCs w:val="24"/>
        </w:rPr>
      </w:pPr>
      <w:r w:rsidRPr="001347F6">
        <w:rPr>
          <w:sz w:val="24"/>
          <w:szCs w:val="24"/>
          <w:vertAlign w:val="superscript"/>
        </w:rPr>
        <w:footnoteRef/>
      </w:r>
      <w:r w:rsidRPr="001347F6">
        <w:rPr>
          <w:i/>
          <w:sz w:val="24"/>
          <w:szCs w:val="24"/>
          <w:highlight w:val="white"/>
        </w:rPr>
        <w:t xml:space="preserve"> Belgium v Senegal</w:t>
      </w:r>
      <w:r w:rsidR="00883AB5" w:rsidRPr="001347F6">
        <w:rPr>
          <w:i/>
          <w:sz w:val="24"/>
          <w:szCs w:val="24"/>
          <w:highlight w:val="white"/>
        </w:rPr>
        <w:fldChar w:fldCharType="begin"/>
      </w:r>
      <w:r w:rsidR="00883AB5" w:rsidRPr="001347F6">
        <w:rPr>
          <w:i/>
          <w:sz w:val="24"/>
          <w:szCs w:val="24"/>
          <w:highlight w:val="white"/>
        </w:rPr>
        <w:instrText xml:space="preserve"> TA \s "Belgium v Senegal" </w:instrText>
      </w:r>
      <w:r w:rsidR="00883AB5" w:rsidRPr="001347F6">
        <w:rPr>
          <w:i/>
          <w:sz w:val="24"/>
          <w:szCs w:val="24"/>
          <w:highlight w:val="white"/>
        </w:rPr>
        <w:fldChar w:fldCharType="end"/>
      </w:r>
      <w:r w:rsidRPr="001347F6">
        <w:rPr>
          <w:i/>
          <w:sz w:val="24"/>
          <w:szCs w:val="24"/>
          <w:highlight w:val="white"/>
        </w:rPr>
        <w:t>,</w:t>
      </w:r>
      <w:r w:rsidRPr="001347F6">
        <w:rPr>
          <w:sz w:val="24"/>
          <w:szCs w:val="24"/>
        </w:rPr>
        <w:t xml:space="preserve"> [70].</w:t>
      </w:r>
    </w:p>
  </w:footnote>
  <w:footnote w:id="18">
    <w:p w14:paraId="1FD43ABF" w14:textId="77777777"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Compromis, [60]; Special Agreement, Art 3.</w:t>
      </w:r>
    </w:p>
    <w:p w14:paraId="2BDE7BDE" w14:textId="77777777" w:rsidR="008C2177" w:rsidRPr="001347F6" w:rsidRDefault="008C2177" w:rsidP="001347F6">
      <w:pPr>
        <w:widowControl/>
        <w:jc w:val="both"/>
        <w:rPr>
          <w:sz w:val="24"/>
          <w:szCs w:val="24"/>
        </w:rPr>
      </w:pPr>
    </w:p>
  </w:footnote>
  <w:footnote w:id="19">
    <w:p w14:paraId="1142BC42" w14:textId="77777777"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Compromis, [36]-[38]; Special Agreement, Preamble.</w:t>
      </w:r>
    </w:p>
    <w:p w14:paraId="483CE3D4" w14:textId="77777777" w:rsidR="008C2177" w:rsidRPr="001347F6" w:rsidRDefault="008C2177" w:rsidP="001347F6">
      <w:pPr>
        <w:widowControl/>
        <w:jc w:val="both"/>
        <w:rPr>
          <w:sz w:val="24"/>
          <w:szCs w:val="24"/>
        </w:rPr>
      </w:pPr>
    </w:p>
  </w:footnote>
  <w:footnote w:id="20">
    <w:p w14:paraId="62FD0A2A" w14:textId="1A257270" w:rsidR="008C2177" w:rsidRPr="001347F6" w:rsidRDefault="00000000" w:rsidP="001347F6">
      <w:pPr>
        <w:widowControl/>
        <w:jc w:val="both"/>
        <w:rPr>
          <w:sz w:val="24"/>
          <w:szCs w:val="24"/>
          <w:highlight w:val="white"/>
        </w:rPr>
      </w:pPr>
      <w:r w:rsidRPr="001347F6">
        <w:rPr>
          <w:sz w:val="24"/>
          <w:szCs w:val="24"/>
          <w:vertAlign w:val="superscript"/>
        </w:rPr>
        <w:footnoteRef/>
      </w:r>
      <w:r w:rsidRPr="001347F6">
        <w:rPr>
          <w:sz w:val="24"/>
          <w:szCs w:val="24"/>
        </w:rPr>
        <w:t xml:space="preserve"> </w:t>
      </w:r>
      <w:r w:rsidRPr="001347F6">
        <w:rPr>
          <w:sz w:val="24"/>
          <w:szCs w:val="24"/>
          <w:highlight w:val="white"/>
        </w:rPr>
        <w:t>International Covenant on Civil and Political Rights (adopted 16 December 1966, entered into force 23 March 1976) 999 UNTS 171 [‘ICCPR</w:t>
      </w:r>
      <w:r w:rsidR="00162C82" w:rsidRPr="001347F6">
        <w:rPr>
          <w:sz w:val="24"/>
          <w:szCs w:val="24"/>
          <w:highlight w:val="white"/>
        </w:rPr>
        <w:t>,</w:t>
      </w:r>
      <w:r w:rsidRPr="001347F6">
        <w:rPr>
          <w:sz w:val="24"/>
          <w:szCs w:val="24"/>
          <w:highlight w:val="white"/>
        </w:rPr>
        <w:t>’]</w:t>
      </w:r>
      <w:r w:rsidR="000E212C" w:rsidRPr="001347F6">
        <w:rPr>
          <w:sz w:val="24"/>
          <w:szCs w:val="24"/>
          <w:highlight w:val="white"/>
        </w:rPr>
        <w:fldChar w:fldCharType="begin"/>
      </w:r>
      <w:r w:rsidR="000E212C" w:rsidRPr="001347F6">
        <w:rPr>
          <w:sz w:val="24"/>
          <w:szCs w:val="24"/>
        </w:rPr>
        <w:instrText xml:space="preserve"> TA \s "ICCPR" </w:instrText>
      </w:r>
      <w:r w:rsidR="000E212C" w:rsidRPr="001347F6">
        <w:rPr>
          <w:sz w:val="24"/>
          <w:szCs w:val="24"/>
          <w:highlight w:val="white"/>
        </w:rPr>
        <w:fldChar w:fldCharType="end"/>
      </w:r>
      <w:r w:rsidR="00150089" w:rsidRPr="001347F6">
        <w:rPr>
          <w:sz w:val="24"/>
          <w:szCs w:val="24"/>
          <w:highlight w:val="white"/>
        </w:rPr>
        <w:t xml:space="preserve">, </w:t>
      </w:r>
      <w:r w:rsidRPr="001347F6">
        <w:rPr>
          <w:sz w:val="24"/>
          <w:szCs w:val="24"/>
          <w:highlight w:val="white"/>
        </w:rPr>
        <w:t xml:space="preserve">Art 2(1); </w:t>
      </w:r>
      <w:r w:rsidRPr="001347F6">
        <w:rPr>
          <w:sz w:val="24"/>
          <w:szCs w:val="24"/>
        </w:rPr>
        <w:t>HRComm ‘General Comment 31 - The Nature of the General Legal Obligation Imposed on States Parties to the Covenant’ (</w:t>
      </w:r>
      <w:r w:rsidRPr="001347F6">
        <w:rPr>
          <w:sz w:val="24"/>
          <w:szCs w:val="24"/>
          <w:highlight w:val="white"/>
        </w:rPr>
        <w:t xml:space="preserve">26 May 2004) UN Doc CCPR/C/21/Rev.1/Add. 13 </w:t>
      </w:r>
      <w:r w:rsidRPr="001347F6">
        <w:rPr>
          <w:sz w:val="24"/>
          <w:szCs w:val="24"/>
        </w:rPr>
        <w:t>[‘General Comment 31’]</w:t>
      </w:r>
      <w:r w:rsidR="00253941" w:rsidRPr="001347F6">
        <w:rPr>
          <w:sz w:val="24"/>
          <w:szCs w:val="24"/>
        </w:rPr>
        <w:fldChar w:fldCharType="begin"/>
      </w:r>
      <w:r w:rsidR="00253941" w:rsidRPr="001347F6">
        <w:rPr>
          <w:sz w:val="24"/>
          <w:szCs w:val="24"/>
        </w:rPr>
        <w:instrText xml:space="preserve"> TA \l "HRComm ‘General Comment 31 - The Nature of the General Legal Obligation Imposed on States Parties to the Covenant’ (</w:instrText>
      </w:r>
      <w:r w:rsidR="00253941" w:rsidRPr="001347F6">
        <w:rPr>
          <w:sz w:val="24"/>
          <w:szCs w:val="24"/>
          <w:highlight w:val="white"/>
        </w:rPr>
        <w:instrText xml:space="preserve">26 May 2004) UN Doc CCPR/C/21/Rev.1/Add. 13 </w:instrText>
      </w:r>
      <w:r w:rsidR="00253941" w:rsidRPr="001347F6">
        <w:rPr>
          <w:sz w:val="24"/>
          <w:szCs w:val="24"/>
        </w:rPr>
        <w:instrText xml:space="preserve">[‘General Comment 31’]" \s "General Comment 31" \c 3 </w:instrText>
      </w:r>
      <w:r w:rsidR="00253941" w:rsidRPr="001347F6">
        <w:rPr>
          <w:sz w:val="24"/>
          <w:szCs w:val="24"/>
        </w:rPr>
        <w:fldChar w:fldCharType="end"/>
      </w:r>
      <w:r w:rsidRPr="001347F6">
        <w:rPr>
          <w:sz w:val="24"/>
          <w:szCs w:val="24"/>
        </w:rPr>
        <w:t xml:space="preserve"> [2];</w:t>
      </w:r>
      <w:r w:rsidRPr="001347F6">
        <w:rPr>
          <w:sz w:val="24"/>
          <w:szCs w:val="24"/>
          <w:highlight w:val="white"/>
        </w:rPr>
        <w:t xml:space="preserve"> </w:t>
      </w:r>
      <w:r w:rsidRPr="001347F6">
        <w:rPr>
          <w:i/>
          <w:sz w:val="24"/>
          <w:szCs w:val="24"/>
          <w:highlight w:val="white"/>
        </w:rPr>
        <w:t xml:space="preserve">Armed Activities on the Territory of the Congo (Democratic Republic of the Congo v. Uganda) </w:t>
      </w:r>
      <w:r w:rsidRPr="001347F6">
        <w:rPr>
          <w:sz w:val="24"/>
          <w:szCs w:val="24"/>
          <w:highlight w:val="white"/>
        </w:rPr>
        <w:t>(Separate Opinion Judge Simma) [2005] ICJ Rep 347</w:t>
      </w:r>
      <w:r w:rsidR="00F66AB9" w:rsidRPr="001347F6">
        <w:rPr>
          <w:sz w:val="24"/>
          <w:szCs w:val="24"/>
          <w:highlight w:val="white"/>
        </w:rPr>
        <w:fldChar w:fldCharType="begin"/>
      </w:r>
      <w:r w:rsidR="00F66AB9" w:rsidRPr="001347F6">
        <w:rPr>
          <w:sz w:val="24"/>
          <w:szCs w:val="24"/>
        </w:rPr>
        <w:instrText xml:space="preserve"> TA \l "</w:instrText>
      </w:r>
      <w:r w:rsidR="00F66AB9" w:rsidRPr="001347F6">
        <w:rPr>
          <w:i/>
          <w:sz w:val="24"/>
          <w:szCs w:val="24"/>
          <w:highlight w:val="white"/>
        </w:rPr>
        <w:instrText xml:space="preserve">Armed Activities on the Territory of the Congo (Democratic Republic of the Congo v. Uganda) </w:instrText>
      </w:r>
      <w:r w:rsidR="00F66AB9" w:rsidRPr="001347F6">
        <w:rPr>
          <w:sz w:val="24"/>
          <w:szCs w:val="24"/>
          <w:highlight w:val="white"/>
        </w:rPr>
        <w:instrText>(Separate Opinion Judge Simma) [2005] ICJ Rep 347</w:instrText>
      </w:r>
      <w:r w:rsidR="00F66AB9" w:rsidRPr="001347F6">
        <w:rPr>
          <w:sz w:val="24"/>
          <w:szCs w:val="24"/>
        </w:rPr>
        <w:instrText xml:space="preserve">" \s "Armed Activities on the Territory of the Congo" \c 1 </w:instrText>
      </w:r>
      <w:r w:rsidR="00F66AB9" w:rsidRPr="001347F6">
        <w:rPr>
          <w:sz w:val="24"/>
          <w:szCs w:val="24"/>
          <w:highlight w:val="white"/>
        </w:rPr>
        <w:fldChar w:fldCharType="end"/>
      </w:r>
      <w:r w:rsidRPr="001347F6">
        <w:rPr>
          <w:sz w:val="24"/>
          <w:szCs w:val="24"/>
          <w:highlight w:val="white"/>
        </w:rPr>
        <w:t xml:space="preserve"> </w:t>
      </w:r>
      <w:r w:rsidRPr="001347F6">
        <w:rPr>
          <w:sz w:val="24"/>
          <w:szCs w:val="24"/>
        </w:rPr>
        <w:t>[35].</w:t>
      </w:r>
    </w:p>
    <w:p w14:paraId="207BD868" w14:textId="77777777" w:rsidR="008C2177" w:rsidRPr="001347F6" w:rsidRDefault="008C2177" w:rsidP="001347F6">
      <w:pPr>
        <w:widowControl/>
        <w:jc w:val="both"/>
        <w:rPr>
          <w:sz w:val="24"/>
          <w:szCs w:val="24"/>
        </w:rPr>
      </w:pPr>
    </w:p>
  </w:footnote>
  <w:footnote w:id="21">
    <w:p w14:paraId="4A29DDE1" w14:textId="3F3B79A3"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w:t>
      </w:r>
      <w:r w:rsidRPr="001347F6">
        <w:rPr>
          <w:sz w:val="24"/>
          <w:szCs w:val="24"/>
          <w:highlight w:val="white"/>
        </w:rPr>
        <w:t>General Comment 31</w:t>
      </w:r>
      <w:r w:rsidR="00253941" w:rsidRPr="001347F6">
        <w:rPr>
          <w:sz w:val="24"/>
          <w:szCs w:val="24"/>
          <w:highlight w:val="white"/>
        </w:rPr>
        <w:fldChar w:fldCharType="begin"/>
      </w:r>
      <w:r w:rsidR="00253941" w:rsidRPr="001347F6">
        <w:rPr>
          <w:sz w:val="24"/>
          <w:szCs w:val="24"/>
          <w:highlight w:val="white"/>
        </w:rPr>
        <w:instrText xml:space="preserve"> TA \s "General Comment 31" </w:instrText>
      </w:r>
      <w:r w:rsidR="00253941" w:rsidRPr="001347F6">
        <w:rPr>
          <w:sz w:val="24"/>
          <w:szCs w:val="24"/>
          <w:highlight w:val="white"/>
        </w:rPr>
        <w:fldChar w:fldCharType="end"/>
      </w:r>
      <w:r w:rsidRPr="001347F6">
        <w:rPr>
          <w:sz w:val="24"/>
          <w:szCs w:val="24"/>
          <w:highlight w:val="white"/>
        </w:rPr>
        <w:t>, [2]; Ahmadou</w:t>
      </w:r>
      <w:r w:rsidRPr="001347F6">
        <w:rPr>
          <w:i/>
          <w:sz w:val="24"/>
          <w:szCs w:val="24"/>
          <w:highlight w:val="white"/>
        </w:rPr>
        <w:t xml:space="preserve"> Sadio Diallo (Republic of Guinea v. Democratic Republic of the Congo) </w:t>
      </w:r>
      <w:r w:rsidRPr="001347F6">
        <w:rPr>
          <w:sz w:val="24"/>
          <w:szCs w:val="24"/>
          <w:highlight w:val="white"/>
        </w:rPr>
        <w:t>(Merits) [2010] [</w:t>
      </w:r>
      <w:r w:rsidRPr="001347F6">
        <w:rPr>
          <w:i/>
          <w:sz w:val="24"/>
          <w:szCs w:val="24"/>
          <w:highlight w:val="white"/>
        </w:rPr>
        <w:t>‘Diallo’</w:t>
      </w:r>
      <w:r w:rsidRPr="001347F6">
        <w:rPr>
          <w:sz w:val="24"/>
          <w:szCs w:val="24"/>
          <w:highlight w:val="white"/>
        </w:rPr>
        <w:t>] ICJ Rep 664</w:t>
      </w:r>
      <w:r w:rsidR="00F66AB9" w:rsidRPr="001347F6">
        <w:rPr>
          <w:sz w:val="24"/>
          <w:szCs w:val="24"/>
          <w:highlight w:val="white"/>
        </w:rPr>
        <w:fldChar w:fldCharType="begin"/>
      </w:r>
      <w:r w:rsidR="00F66AB9" w:rsidRPr="001347F6">
        <w:rPr>
          <w:sz w:val="24"/>
          <w:szCs w:val="24"/>
        </w:rPr>
        <w:instrText xml:space="preserve"> TA \l "</w:instrText>
      </w:r>
      <w:r w:rsidR="00F66AB9" w:rsidRPr="001347F6">
        <w:rPr>
          <w:sz w:val="24"/>
          <w:szCs w:val="24"/>
          <w:highlight w:val="white"/>
        </w:rPr>
        <w:instrText>Ahmadou</w:instrText>
      </w:r>
      <w:r w:rsidR="00F66AB9" w:rsidRPr="001347F6">
        <w:rPr>
          <w:i/>
          <w:sz w:val="24"/>
          <w:szCs w:val="24"/>
          <w:highlight w:val="white"/>
        </w:rPr>
        <w:instrText xml:space="preserve"> Sadio Diallo (Republic of Guinea v. Democratic Republic of the Congo) </w:instrText>
      </w:r>
      <w:r w:rsidR="00F66AB9" w:rsidRPr="001347F6">
        <w:rPr>
          <w:sz w:val="24"/>
          <w:szCs w:val="24"/>
          <w:highlight w:val="white"/>
        </w:rPr>
        <w:instrText>(Merits) [2010] [</w:instrText>
      </w:r>
      <w:r w:rsidR="00F66AB9" w:rsidRPr="001347F6">
        <w:rPr>
          <w:i/>
          <w:sz w:val="24"/>
          <w:szCs w:val="24"/>
          <w:highlight w:val="white"/>
        </w:rPr>
        <w:instrText>‘Diallo’</w:instrText>
      </w:r>
      <w:r w:rsidR="00F66AB9" w:rsidRPr="001347F6">
        <w:rPr>
          <w:sz w:val="24"/>
          <w:szCs w:val="24"/>
          <w:highlight w:val="white"/>
        </w:rPr>
        <w:instrText>] ICJ Rep 664</w:instrText>
      </w:r>
      <w:r w:rsidR="00F66AB9" w:rsidRPr="001347F6">
        <w:rPr>
          <w:sz w:val="24"/>
          <w:szCs w:val="24"/>
        </w:rPr>
        <w:instrText xml:space="preserve">" \s "Diallo" \c 1 </w:instrText>
      </w:r>
      <w:r w:rsidR="00F66AB9" w:rsidRPr="001347F6">
        <w:rPr>
          <w:sz w:val="24"/>
          <w:szCs w:val="24"/>
          <w:highlight w:val="white"/>
        </w:rPr>
        <w:fldChar w:fldCharType="end"/>
      </w:r>
      <w:r w:rsidRPr="001347F6">
        <w:rPr>
          <w:sz w:val="24"/>
          <w:szCs w:val="24"/>
          <w:highlight w:val="white"/>
        </w:rPr>
        <w:t xml:space="preserve"> [66].</w:t>
      </w:r>
    </w:p>
    <w:p w14:paraId="4331E13F" w14:textId="77777777" w:rsidR="008C2177" w:rsidRPr="001347F6" w:rsidRDefault="008C2177" w:rsidP="001347F6">
      <w:pPr>
        <w:widowControl/>
        <w:jc w:val="both"/>
        <w:rPr>
          <w:sz w:val="24"/>
          <w:szCs w:val="24"/>
        </w:rPr>
      </w:pPr>
    </w:p>
  </w:footnote>
  <w:footnote w:id="22">
    <w:p w14:paraId="6B9B05ED" w14:textId="074B6D4C" w:rsidR="008C2177" w:rsidRPr="001347F6" w:rsidRDefault="00000000" w:rsidP="001347F6">
      <w:pPr>
        <w:widowControl/>
        <w:jc w:val="both"/>
        <w:rPr>
          <w:sz w:val="24"/>
          <w:szCs w:val="24"/>
          <w:highlight w:val="white"/>
        </w:rPr>
      </w:pPr>
      <w:r w:rsidRPr="001347F6">
        <w:rPr>
          <w:sz w:val="24"/>
          <w:szCs w:val="24"/>
          <w:vertAlign w:val="superscript"/>
        </w:rPr>
        <w:footnoteRef/>
      </w:r>
      <w:r w:rsidRPr="001347F6">
        <w:rPr>
          <w:sz w:val="24"/>
          <w:szCs w:val="24"/>
          <w:highlight w:val="white"/>
        </w:rPr>
        <w:t xml:space="preserve"> ICCPR</w:t>
      </w:r>
      <w:r w:rsidR="000E212C" w:rsidRPr="001347F6">
        <w:rPr>
          <w:sz w:val="24"/>
          <w:szCs w:val="24"/>
          <w:highlight w:val="white"/>
        </w:rPr>
        <w:fldChar w:fldCharType="begin"/>
      </w:r>
      <w:r w:rsidR="000E212C" w:rsidRPr="001347F6">
        <w:rPr>
          <w:sz w:val="24"/>
          <w:szCs w:val="24"/>
          <w:highlight w:val="white"/>
        </w:rPr>
        <w:instrText xml:space="preserve"> TA \s "ICCPR" </w:instrText>
      </w:r>
      <w:r w:rsidR="000E212C" w:rsidRPr="001347F6">
        <w:rPr>
          <w:sz w:val="24"/>
          <w:szCs w:val="24"/>
          <w:highlight w:val="white"/>
        </w:rPr>
        <w:fldChar w:fldCharType="end"/>
      </w:r>
      <w:r w:rsidR="00150089" w:rsidRPr="001347F6">
        <w:rPr>
          <w:sz w:val="24"/>
          <w:szCs w:val="24"/>
          <w:highlight w:val="white"/>
        </w:rPr>
        <w:t>,</w:t>
      </w:r>
      <w:r w:rsidRPr="001347F6">
        <w:rPr>
          <w:sz w:val="24"/>
          <w:szCs w:val="24"/>
          <w:highlight w:val="white"/>
        </w:rPr>
        <w:t xml:space="preserve"> Preamble. </w:t>
      </w:r>
    </w:p>
    <w:p w14:paraId="353F3F59" w14:textId="77777777" w:rsidR="008C2177" w:rsidRPr="001347F6" w:rsidRDefault="008C2177" w:rsidP="001347F6">
      <w:pPr>
        <w:widowControl/>
        <w:jc w:val="both"/>
        <w:rPr>
          <w:sz w:val="24"/>
          <w:szCs w:val="24"/>
        </w:rPr>
      </w:pPr>
    </w:p>
  </w:footnote>
  <w:footnote w:id="23">
    <w:p w14:paraId="566E02B0" w14:textId="7047FFFE" w:rsidR="008C2177" w:rsidRPr="001347F6" w:rsidRDefault="00000000" w:rsidP="001347F6">
      <w:pPr>
        <w:widowControl/>
        <w:jc w:val="both"/>
        <w:rPr>
          <w:b/>
          <w:sz w:val="24"/>
          <w:szCs w:val="24"/>
          <w:u w:val="single"/>
        </w:rPr>
      </w:pPr>
      <w:r w:rsidRPr="001347F6">
        <w:rPr>
          <w:sz w:val="24"/>
          <w:szCs w:val="24"/>
          <w:vertAlign w:val="superscript"/>
        </w:rPr>
        <w:footnoteRef/>
      </w:r>
      <w:r w:rsidRPr="001347F6">
        <w:rPr>
          <w:sz w:val="24"/>
          <w:szCs w:val="24"/>
          <w:highlight w:val="white"/>
        </w:rPr>
        <w:t xml:space="preserve"> </w:t>
      </w:r>
      <w:r w:rsidRPr="001347F6">
        <w:rPr>
          <w:sz w:val="24"/>
          <w:szCs w:val="24"/>
        </w:rPr>
        <w:t xml:space="preserve">HRComm ‘General Comment 34 - </w:t>
      </w:r>
      <w:r w:rsidRPr="001347F6">
        <w:rPr>
          <w:sz w:val="24"/>
          <w:szCs w:val="24"/>
          <w:highlight w:val="white"/>
        </w:rPr>
        <w:t>Article 19: Freedoms of opinion and expression</w:t>
      </w:r>
      <w:r w:rsidRPr="001347F6">
        <w:rPr>
          <w:sz w:val="24"/>
          <w:szCs w:val="24"/>
        </w:rPr>
        <w:t>’ (</w:t>
      </w:r>
      <w:r w:rsidRPr="001347F6">
        <w:rPr>
          <w:sz w:val="24"/>
          <w:szCs w:val="24"/>
          <w:highlight w:val="white"/>
        </w:rPr>
        <w:t>12 September 2011) UN D</w:t>
      </w:r>
      <w:r w:rsidRPr="001347F6">
        <w:rPr>
          <w:sz w:val="24"/>
          <w:szCs w:val="24"/>
        </w:rPr>
        <w:t>oc CCPR/C/GC/34 [‘General Comment 34’]</w:t>
      </w:r>
      <w:r w:rsidR="00F66AB9" w:rsidRPr="001347F6">
        <w:rPr>
          <w:sz w:val="24"/>
          <w:szCs w:val="24"/>
        </w:rPr>
        <w:fldChar w:fldCharType="begin"/>
      </w:r>
      <w:r w:rsidR="00F66AB9" w:rsidRPr="001347F6">
        <w:rPr>
          <w:sz w:val="24"/>
          <w:szCs w:val="24"/>
        </w:rPr>
        <w:instrText xml:space="preserve"> TA \l "HRComm ‘General Comment 34 - </w:instrText>
      </w:r>
      <w:r w:rsidR="00F66AB9" w:rsidRPr="001347F6">
        <w:rPr>
          <w:sz w:val="24"/>
          <w:szCs w:val="24"/>
          <w:highlight w:val="white"/>
        </w:rPr>
        <w:instrText>Article 19: Freedoms of opinion and expression</w:instrText>
      </w:r>
      <w:r w:rsidR="00F66AB9" w:rsidRPr="001347F6">
        <w:rPr>
          <w:sz w:val="24"/>
          <w:szCs w:val="24"/>
        </w:rPr>
        <w:instrText>’ (</w:instrText>
      </w:r>
      <w:r w:rsidR="00F66AB9" w:rsidRPr="001347F6">
        <w:rPr>
          <w:sz w:val="24"/>
          <w:szCs w:val="24"/>
          <w:highlight w:val="white"/>
        </w:rPr>
        <w:instrText>12 September 2011) UN D</w:instrText>
      </w:r>
      <w:r w:rsidR="00F66AB9" w:rsidRPr="001347F6">
        <w:rPr>
          <w:sz w:val="24"/>
          <w:szCs w:val="24"/>
        </w:rPr>
        <w:instrText xml:space="preserve">oc CCPR/C/GC/34 [‘General Comment 34’]" \s "General Comment 34" \c 3 </w:instrText>
      </w:r>
      <w:r w:rsidR="00F66AB9" w:rsidRPr="001347F6">
        <w:rPr>
          <w:sz w:val="24"/>
          <w:szCs w:val="24"/>
        </w:rPr>
        <w:fldChar w:fldCharType="end"/>
      </w:r>
      <w:r w:rsidRPr="001347F6">
        <w:rPr>
          <w:sz w:val="24"/>
          <w:szCs w:val="24"/>
        </w:rPr>
        <w:t xml:space="preserve"> [2];</w:t>
      </w:r>
      <w:r w:rsidRPr="001347F6">
        <w:rPr>
          <w:sz w:val="24"/>
          <w:szCs w:val="24"/>
          <w:highlight w:val="white"/>
        </w:rPr>
        <w:t xml:space="preserve"> </w:t>
      </w:r>
      <w:r w:rsidRPr="001347F6">
        <w:rPr>
          <w:sz w:val="24"/>
          <w:szCs w:val="24"/>
        </w:rPr>
        <w:t>HRComm ‘General Comment 37 - Article 21: Right of peaceful assembly’ (17 September 2020) UN Doc CCPR/C/GC/37 [‘General Comment 37’]</w:t>
      </w:r>
      <w:r w:rsidR="00F66AB9" w:rsidRPr="001347F6">
        <w:rPr>
          <w:sz w:val="24"/>
          <w:szCs w:val="24"/>
        </w:rPr>
        <w:fldChar w:fldCharType="begin"/>
      </w:r>
      <w:r w:rsidR="00F66AB9" w:rsidRPr="001347F6">
        <w:rPr>
          <w:sz w:val="24"/>
          <w:szCs w:val="24"/>
        </w:rPr>
        <w:instrText xml:space="preserve"> TA \l "HRComm ‘General Comment 37 - Article 21: Right of peaceful assembly’ (17 September 2020) UN Doc CCPR/C/GC/37 [‘General Comment 37’]" \s "General Comment 37" \c 3 </w:instrText>
      </w:r>
      <w:r w:rsidR="00F66AB9" w:rsidRPr="001347F6">
        <w:rPr>
          <w:sz w:val="24"/>
          <w:szCs w:val="24"/>
        </w:rPr>
        <w:fldChar w:fldCharType="end"/>
      </w:r>
      <w:r w:rsidRPr="001347F6">
        <w:rPr>
          <w:sz w:val="24"/>
          <w:szCs w:val="24"/>
        </w:rPr>
        <w:t xml:space="preserve"> [2].</w:t>
      </w:r>
    </w:p>
    <w:p w14:paraId="5569ED1B" w14:textId="77777777" w:rsidR="008C2177" w:rsidRPr="001347F6" w:rsidRDefault="008C2177" w:rsidP="001347F6">
      <w:pPr>
        <w:widowControl/>
        <w:jc w:val="both"/>
        <w:rPr>
          <w:sz w:val="24"/>
          <w:szCs w:val="24"/>
          <w:highlight w:val="white"/>
        </w:rPr>
      </w:pPr>
    </w:p>
  </w:footnote>
  <w:footnote w:id="24">
    <w:p w14:paraId="5BBA1679" w14:textId="77777777" w:rsidR="008C2177" w:rsidRPr="001347F6" w:rsidRDefault="00000000" w:rsidP="001347F6">
      <w:pPr>
        <w:jc w:val="both"/>
        <w:rPr>
          <w:sz w:val="24"/>
          <w:szCs w:val="24"/>
          <w:highlight w:val="white"/>
        </w:rPr>
      </w:pPr>
      <w:r w:rsidRPr="001347F6">
        <w:rPr>
          <w:sz w:val="24"/>
          <w:szCs w:val="24"/>
          <w:vertAlign w:val="superscript"/>
        </w:rPr>
        <w:footnoteRef/>
      </w:r>
      <w:r w:rsidRPr="001347F6">
        <w:rPr>
          <w:sz w:val="24"/>
          <w:szCs w:val="24"/>
        </w:rPr>
        <w:t xml:space="preserve"> </w:t>
      </w:r>
      <w:r w:rsidRPr="001347F6">
        <w:rPr>
          <w:sz w:val="24"/>
          <w:szCs w:val="24"/>
          <w:highlight w:val="white"/>
        </w:rPr>
        <w:t>Compromis, [34].</w:t>
      </w:r>
    </w:p>
    <w:p w14:paraId="0CFD0EDB" w14:textId="77777777" w:rsidR="008C2177" w:rsidRPr="001347F6" w:rsidRDefault="008C2177" w:rsidP="001347F6">
      <w:pPr>
        <w:jc w:val="both"/>
        <w:rPr>
          <w:sz w:val="24"/>
          <w:szCs w:val="24"/>
        </w:rPr>
      </w:pPr>
    </w:p>
  </w:footnote>
  <w:footnote w:id="25">
    <w:p w14:paraId="632F9470" w14:textId="79458FFA" w:rsidR="008C2177" w:rsidRPr="001347F6" w:rsidRDefault="00000000" w:rsidP="001347F6">
      <w:pPr>
        <w:widowControl/>
        <w:jc w:val="both"/>
        <w:rPr>
          <w:sz w:val="24"/>
          <w:szCs w:val="24"/>
          <w:highlight w:val="white"/>
        </w:rPr>
      </w:pPr>
      <w:r w:rsidRPr="001347F6">
        <w:rPr>
          <w:sz w:val="24"/>
          <w:szCs w:val="24"/>
          <w:vertAlign w:val="superscript"/>
        </w:rPr>
        <w:footnoteRef/>
      </w:r>
      <w:r w:rsidRPr="001347F6">
        <w:rPr>
          <w:i/>
          <w:iCs/>
          <w:sz w:val="24"/>
          <w:szCs w:val="24"/>
          <w:highlight w:val="white"/>
        </w:rPr>
        <w:t xml:space="preserve"> Memorial</w:t>
      </w:r>
      <w:r w:rsidR="004C713D" w:rsidRPr="001347F6">
        <w:rPr>
          <w:sz w:val="24"/>
          <w:szCs w:val="24"/>
          <w:highlight w:val="white"/>
        </w:rPr>
        <w:t xml:space="preserve">, </w:t>
      </w:r>
      <w:r w:rsidRPr="001347F6">
        <w:rPr>
          <w:sz w:val="24"/>
          <w:szCs w:val="24"/>
          <w:highlight w:val="white"/>
        </w:rPr>
        <w:t>II</w:t>
      </w:r>
      <w:r w:rsidR="004C713D" w:rsidRPr="001347F6">
        <w:rPr>
          <w:sz w:val="24"/>
          <w:szCs w:val="24"/>
          <w:highlight w:val="white"/>
        </w:rPr>
        <w:t>.</w:t>
      </w:r>
      <w:r w:rsidRPr="001347F6">
        <w:rPr>
          <w:sz w:val="24"/>
          <w:szCs w:val="24"/>
          <w:highlight w:val="white"/>
        </w:rPr>
        <w:t>B.</w:t>
      </w:r>
    </w:p>
    <w:p w14:paraId="335E8553" w14:textId="77777777" w:rsidR="008C2177" w:rsidRPr="001347F6" w:rsidRDefault="00000000" w:rsidP="001347F6">
      <w:pPr>
        <w:widowControl/>
        <w:jc w:val="both"/>
        <w:rPr>
          <w:sz w:val="24"/>
          <w:szCs w:val="24"/>
        </w:rPr>
      </w:pPr>
      <w:r w:rsidRPr="001347F6">
        <w:rPr>
          <w:sz w:val="24"/>
          <w:szCs w:val="24"/>
        </w:rPr>
        <w:t xml:space="preserve"> </w:t>
      </w:r>
    </w:p>
  </w:footnote>
  <w:footnote w:id="26">
    <w:p w14:paraId="4C2D8590" w14:textId="00ACFF38"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highlight w:val="white"/>
        </w:rPr>
        <w:t xml:space="preserve"> ARSIWA,</w:t>
      </w:r>
      <w:r w:rsidR="000E212C" w:rsidRPr="001347F6">
        <w:rPr>
          <w:sz w:val="24"/>
          <w:szCs w:val="24"/>
          <w:highlight w:val="white"/>
        </w:rPr>
        <w:fldChar w:fldCharType="begin"/>
      </w:r>
      <w:r w:rsidR="000E212C" w:rsidRPr="001347F6">
        <w:rPr>
          <w:sz w:val="24"/>
          <w:szCs w:val="24"/>
          <w:highlight w:val="white"/>
        </w:rPr>
        <w:instrText xml:space="preserve"> TA \s "ARSIWA," </w:instrText>
      </w:r>
      <w:r w:rsidR="000E212C" w:rsidRPr="001347F6">
        <w:rPr>
          <w:sz w:val="24"/>
          <w:szCs w:val="24"/>
          <w:highlight w:val="white"/>
        </w:rPr>
        <w:fldChar w:fldCharType="end"/>
      </w:r>
      <w:r w:rsidRPr="001347F6">
        <w:rPr>
          <w:sz w:val="24"/>
          <w:szCs w:val="24"/>
          <w:highlight w:val="white"/>
        </w:rPr>
        <w:t xml:space="preserve"> Art 48(1)(b); Institut de Droit International, </w:t>
      </w:r>
      <w:r w:rsidRPr="001347F6">
        <w:rPr>
          <w:i/>
          <w:sz w:val="24"/>
          <w:szCs w:val="24"/>
          <w:highlight w:val="white"/>
        </w:rPr>
        <w:t>Obligation Erga Omnes in International Law</w:t>
      </w:r>
      <w:r w:rsidRPr="001347F6">
        <w:rPr>
          <w:sz w:val="24"/>
          <w:szCs w:val="24"/>
          <w:highlight w:val="white"/>
        </w:rPr>
        <w:t xml:space="preserve"> (Fifth Commission, 2005)</w:t>
      </w:r>
      <w:r w:rsidR="00F66AB9" w:rsidRPr="001347F6">
        <w:rPr>
          <w:sz w:val="24"/>
          <w:szCs w:val="24"/>
          <w:highlight w:val="white"/>
        </w:rPr>
        <w:fldChar w:fldCharType="begin"/>
      </w:r>
      <w:r w:rsidR="00F66AB9" w:rsidRPr="001347F6">
        <w:rPr>
          <w:sz w:val="24"/>
          <w:szCs w:val="24"/>
        </w:rPr>
        <w:instrText xml:space="preserve"> TA \l "</w:instrText>
      </w:r>
      <w:r w:rsidR="00F66AB9" w:rsidRPr="001347F6">
        <w:rPr>
          <w:sz w:val="24"/>
          <w:szCs w:val="24"/>
          <w:highlight w:val="white"/>
        </w:rPr>
        <w:instrText xml:space="preserve">Institut de Droit International, </w:instrText>
      </w:r>
      <w:r w:rsidR="00F66AB9" w:rsidRPr="001347F6">
        <w:rPr>
          <w:i/>
          <w:sz w:val="24"/>
          <w:szCs w:val="24"/>
          <w:highlight w:val="white"/>
        </w:rPr>
        <w:instrText>Obligation Erga Omnes in International Law</w:instrText>
      </w:r>
      <w:r w:rsidR="00F66AB9" w:rsidRPr="001347F6">
        <w:rPr>
          <w:sz w:val="24"/>
          <w:szCs w:val="24"/>
          <w:highlight w:val="white"/>
        </w:rPr>
        <w:instrText xml:space="preserve"> (Fifth Commission, 2005)</w:instrText>
      </w:r>
      <w:r w:rsidR="00F66AB9" w:rsidRPr="001347F6">
        <w:rPr>
          <w:sz w:val="24"/>
          <w:szCs w:val="24"/>
        </w:rPr>
        <w:instrText xml:space="preserve">" \s "Institut de Droit International" \c 7 </w:instrText>
      </w:r>
      <w:r w:rsidR="00F66AB9" w:rsidRPr="001347F6">
        <w:rPr>
          <w:sz w:val="24"/>
          <w:szCs w:val="24"/>
          <w:highlight w:val="white"/>
        </w:rPr>
        <w:fldChar w:fldCharType="end"/>
      </w:r>
      <w:r w:rsidRPr="001347F6">
        <w:rPr>
          <w:sz w:val="24"/>
          <w:szCs w:val="24"/>
          <w:highlight w:val="white"/>
        </w:rPr>
        <w:t xml:space="preserve"> Arts 1(a), 3. </w:t>
      </w:r>
    </w:p>
    <w:p w14:paraId="0969B8F0" w14:textId="77777777" w:rsidR="008C2177" w:rsidRPr="001347F6" w:rsidRDefault="008C2177" w:rsidP="001347F6">
      <w:pPr>
        <w:widowControl/>
        <w:jc w:val="both"/>
        <w:rPr>
          <w:sz w:val="24"/>
          <w:szCs w:val="24"/>
        </w:rPr>
      </w:pPr>
    </w:p>
  </w:footnote>
  <w:footnote w:id="27">
    <w:p w14:paraId="37E87793" w14:textId="211201A0" w:rsidR="008C2177" w:rsidRPr="001347F6" w:rsidRDefault="00000000" w:rsidP="001347F6">
      <w:pPr>
        <w:widowControl/>
        <w:shd w:val="clear" w:color="auto" w:fill="FFFFFF"/>
        <w:jc w:val="both"/>
        <w:rPr>
          <w:sz w:val="24"/>
          <w:szCs w:val="24"/>
        </w:rPr>
      </w:pPr>
      <w:r w:rsidRPr="001347F6">
        <w:rPr>
          <w:sz w:val="24"/>
          <w:szCs w:val="24"/>
          <w:vertAlign w:val="superscript"/>
        </w:rPr>
        <w:footnoteRef/>
      </w:r>
      <w:r w:rsidRPr="001347F6">
        <w:rPr>
          <w:sz w:val="24"/>
          <w:szCs w:val="24"/>
        </w:rPr>
        <w:t xml:space="preserve"> </w:t>
      </w:r>
      <w:r w:rsidRPr="001347F6">
        <w:rPr>
          <w:i/>
          <w:sz w:val="24"/>
          <w:szCs w:val="24"/>
        </w:rPr>
        <w:t xml:space="preserve">Case Concerning the Barcelona Traction, Light and Power Company, Limited (Belgium v. Spain) </w:t>
      </w:r>
      <w:r w:rsidRPr="001347F6">
        <w:rPr>
          <w:sz w:val="24"/>
          <w:szCs w:val="24"/>
        </w:rPr>
        <w:t>(Second Phase) [1970] [</w:t>
      </w:r>
      <w:r w:rsidRPr="001347F6">
        <w:rPr>
          <w:i/>
          <w:sz w:val="24"/>
          <w:szCs w:val="24"/>
        </w:rPr>
        <w:t>‘Barcelona Traction’</w:t>
      </w:r>
      <w:r w:rsidRPr="001347F6">
        <w:rPr>
          <w:sz w:val="24"/>
          <w:szCs w:val="24"/>
        </w:rPr>
        <w:t xml:space="preserve">] </w:t>
      </w:r>
      <w:r w:rsidRPr="001347F6">
        <w:rPr>
          <w:sz w:val="24"/>
          <w:szCs w:val="24"/>
          <w:highlight w:val="white"/>
        </w:rPr>
        <w:t>ICJ Rep 32</w:t>
      </w:r>
      <w:r w:rsidR="005D54B9" w:rsidRPr="001347F6">
        <w:rPr>
          <w:sz w:val="24"/>
          <w:szCs w:val="24"/>
          <w:highlight w:val="white"/>
        </w:rPr>
        <w:fldChar w:fldCharType="begin"/>
      </w:r>
      <w:r w:rsidR="005D54B9" w:rsidRPr="001347F6">
        <w:rPr>
          <w:sz w:val="24"/>
          <w:szCs w:val="24"/>
        </w:rPr>
        <w:instrText xml:space="preserve"> TA \s "Barcelona Traction" </w:instrText>
      </w:r>
      <w:r w:rsidR="005D54B9" w:rsidRPr="001347F6">
        <w:rPr>
          <w:sz w:val="24"/>
          <w:szCs w:val="24"/>
          <w:highlight w:val="white"/>
        </w:rPr>
        <w:fldChar w:fldCharType="end"/>
      </w:r>
      <w:r w:rsidRPr="001347F6">
        <w:rPr>
          <w:sz w:val="24"/>
          <w:szCs w:val="24"/>
          <w:highlight w:val="white"/>
        </w:rPr>
        <w:t xml:space="preserve"> </w:t>
      </w:r>
      <w:r w:rsidRPr="001347F6">
        <w:rPr>
          <w:sz w:val="24"/>
          <w:szCs w:val="24"/>
        </w:rPr>
        <w:t>[33]-[34].</w:t>
      </w:r>
    </w:p>
    <w:p w14:paraId="6C401891" w14:textId="77777777" w:rsidR="008C2177" w:rsidRPr="001347F6" w:rsidRDefault="008C2177" w:rsidP="001347F6">
      <w:pPr>
        <w:widowControl/>
        <w:shd w:val="clear" w:color="auto" w:fill="FFFFFF"/>
        <w:jc w:val="both"/>
        <w:rPr>
          <w:sz w:val="24"/>
          <w:szCs w:val="24"/>
        </w:rPr>
      </w:pPr>
    </w:p>
  </w:footnote>
  <w:footnote w:id="28">
    <w:p w14:paraId="71FB6E88" w14:textId="5E785286"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highlight w:val="white"/>
        </w:rPr>
        <w:t xml:space="preserve">  </w:t>
      </w:r>
      <w:r w:rsidRPr="001347F6">
        <w:rPr>
          <w:i/>
          <w:sz w:val="24"/>
          <w:szCs w:val="24"/>
        </w:rPr>
        <w:t xml:space="preserve">Legal Consequences of the Construction of a Wall in the Occupied Palestinian Territory </w:t>
      </w:r>
      <w:r w:rsidRPr="001347F6">
        <w:rPr>
          <w:sz w:val="24"/>
          <w:szCs w:val="24"/>
        </w:rPr>
        <w:t>(Advisory Opinion) [2004] [‘</w:t>
      </w:r>
      <w:r w:rsidRPr="001347F6">
        <w:rPr>
          <w:i/>
          <w:sz w:val="24"/>
          <w:szCs w:val="24"/>
        </w:rPr>
        <w:t>The Wall’</w:t>
      </w:r>
      <w:r w:rsidRPr="001347F6">
        <w:rPr>
          <w:sz w:val="24"/>
          <w:szCs w:val="24"/>
        </w:rPr>
        <w:t>] ICJ Rep 194</w:t>
      </w:r>
      <w:r w:rsidR="005D54B9" w:rsidRPr="001347F6">
        <w:rPr>
          <w:sz w:val="24"/>
          <w:szCs w:val="24"/>
        </w:rPr>
        <w:fldChar w:fldCharType="begin"/>
      </w:r>
      <w:r w:rsidR="005D54B9" w:rsidRPr="001347F6">
        <w:rPr>
          <w:sz w:val="24"/>
          <w:szCs w:val="24"/>
        </w:rPr>
        <w:instrText xml:space="preserve"> TA \l "</w:instrText>
      </w:r>
      <w:r w:rsidR="005D54B9" w:rsidRPr="001347F6">
        <w:rPr>
          <w:i/>
          <w:sz w:val="24"/>
          <w:szCs w:val="24"/>
        </w:rPr>
        <w:instrText xml:space="preserve">Legal Consequences of the Construction of a Wall in the Occupied Palestinian Territory </w:instrText>
      </w:r>
      <w:r w:rsidR="005D54B9" w:rsidRPr="001347F6">
        <w:rPr>
          <w:sz w:val="24"/>
          <w:szCs w:val="24"/>
        </w:rPr>
        <w:instrText>(Advisory Opinion) [2004] [‘</w:instrText>
      </w:r>
      <w:r w:rsidR="005D54B9" w:rsidRPr="001347F6">
        <w:rPr>
          <w:i/>
          <w:sz w:val="24"/>
          <w:szCs w:val="24"/>
        </w:rPr>
        <w:instrText>The Wall’</w:instrText>
      </w:r>
      <w:r w:rsidR="005D54B9" w:rsidRPr="001347F6">
        <w:rPr>
          <w:sz w:val="24"/>
          <w:szCs w:val="24"/>
        </w:rPr>
        <w:instrText xml:space="preserve">] ICJ Rep 194" \s "The Wall" \c 1 </w:instrText>
      </w:r>
      <w:r w:rsidR="005D54B9" w:rsidRPr="001347F6">
        <w:rPr>
          <w:sz w:val="24"/>
          <w:szCs w:val="24"/>
        </w:rPr>
        <w:fldChar w:fldCharType="end"/>
      </w:r>
      <w:r w:rsidRPr="001347F6">
        <w:rPr>
          <w:sz w:val="24"/>
          <w:szCs w:val="24"/>
        </w:rPr>
        <w:t xml:space="preserve"> [1</w:t>
      </w:r>
      <w:r w:rsidR="00916901" w:rsidRPr="001347F6">
        <w:rPr>
          <w:sz w:val="24"/>
          <w:szCs w:val="24"/>
        </w:rPr>
        <w:t>55</w:t>
      </w:r>
      <w:r w:rsidRPr="001347F6">
        <w:rPr>
          <w:sz w:val="24"/>
          <w:szCs w:val="24"/>
        </w:rPr>
        <w:t xml:space="preserve">]; </w:t>
      </w:r>
      <w:r w:rsidRPr="001347F6">
        <w:rPr>
          <w:i/>
          <w:sz w:val="24"/>
          <w:szCs w:val="24"/>
          <w:highlight w:val="white"/>
        </w:rPr>
        <w:t>East Timor (Portugal v Australia)</w:t>
      </w:r>
      <w:r w:rsidRPr="001347F6">
        <w:rPr>
          <w:sz w:val="24"/>
          <w:szCs w:val="24"/>
          <w:highlight w:val="white"/>
        </w:rPr>
        <w:t xml:space="preserve"> (Judgment) [1995] ICJ Rep 90</w:t>
      </w:r>
      <w:r w:rsidR="00F968B5" w:rsidRPr="001347F6">
        <w:rPr>
          <w:sz w:val="24"/>
          <w:szCs w:val="24"/>
          <w:highlight w:val="white"/>
        </w:rPr>
        <w:fldChar w:fldCharType="begin"/>
      </w:r>
      <w:r w:rsidR="00F968B5" w:rsidRPr="001347F6">
        <w:rPr>
          <w:sz w:val="24"/>
          <w:szCs w:val="24"/>
        </w:rPr>
        <w:instrText xml:space="preserve"> TA \l "</w:instrText>
      </w:r>
      <w:r w:rsidR="00F968B5" w:rsidRPr="001347F6">
        <w:rPr>
          <w:i/>
          <w:sz w:val="24"/>
          <w:szCs w:val="24"/>
          <w:highlight w:val="white"/>
        </w:rPr>
        <w:instrText>East Timor (Portugal v Australia)</w:instrText>
      </w:r>
      <w:r w:rsidR="00F968B5" w:rsidRPr="001347F6">
        <w:rPr>
          <w:sz w:val="24"/>
          <w:szCs w:val="24"/>
          <w:highlight w:val="white"/>
        </w:rPr>
        <w:instrText xml:space="preserve"> (Judgment) [1995] ICJ Rep 90</w:instrText>
      </w:r>
      <w:r w:rsidR="00F968B5" w:rsidRPr="001347F6">
        <w:rPr>
          <w:sz w:val="24"/>
          <w:szCs w:val="24"/>
        </w:rPr>
        <w:instrText xml:space="preserve">" \s "East Timor" \c 1 </w:instrText>
      </w:r>
      <w:r w:rsidR="00F968B5" w:rsidRPr="001347F6">
        <w:rPr>
          <w:sz w:val="24"/>
          <w:szCs w:val="24"/>
          <w:highlight w:val="white"/>
        </w:rPr>
        <w:fldChar w:fldCharType="end"/>
      </w:r>
      <w:r w:rsidRPr="001347F6">
        <w:rPr>
          <w:sz w:val="24"/>
          <w:szCs w:val="24"/>
          <w:highlight w:val="white"/>
        </w:rPr>
        <w:t xml:space="preserve"> </w:t>
      </w:r>
      <w:r w:rsidRPr="001347F6">
        <w:rPr>
          <w:sz w:val="24"/>
          <w:szCs w:val="24"/>
        </w:rPr>
        <w:t>[29].</w:t>
      </w:r>
    </w:p>
    <w:p w14:paraId="55CC3AFC" w14:textId="77777777" w:rsidR="008C2177" w:rsidRPr="001347F6" w:rsidRDefault="008C2177" w:rsidP="001347F6">
      <w:pPr>
        <w:widowControl/>
        <w:jc w:val="both"/>
        <w:rPr>
          <w:sz w:val="24"/>
          <w:szCs w:val="24"/>
        </w:rPr>
      </w:pPr>
    </w:p>
  </w:footnote>
  <w:footnote w:id="29">
    <w:p w14:paraId="16FFBED3" w14:textId="3A7C7215" w:rsidR="008C2177" w:rsidRPr="001347F6" w:rsidRDefault="00000000" w:rsidP="001347F6">
      <w:pPr>
        <w:widowControl/>
        <w:jc w:val="both"/>
        <w:rPr>
          <w:sz w:val="24"/>
          <w:szCs w:val="24"/>
          <w:highlight w:val="white"/>
        </w:rPr>
      </w:pPr>
      <w:r w:rsidRPr="001347F6">
        <w:rPr>
          <w:sz w:val="24"/>
          <w:szCs w:val="24"/>
          <w:vertAlign w:val="superscript"/>
        </w:rPr>
        <w:footnoteRef/>
      </w:r>
      <w:r w:rsidRPr="001347F6">
        <w:rPr>
          <w:sz w:val="24"/>
          <w:szCs w:val="24"/>
        </w:rPr>
        <w:t xml:space="preserve"> </w:t>
      </w:r>
      <w:r w:rsidRPr="001347F6">
        <w:rPr>
          <w:i/>
          <w:sz w:val="24"/>
          <w:szCs w:val="24"/>
          <w:highlight w:val="white"/>
        </w:rPr>
        <w:t>Responsibilities and obligations of States with respect to activities in the Area</w:t>
      </w:r>
      <w:r w:rsidRPr="001347F6">
        <w:rPr>
          <w:sz w:val="24"/>
          <w:szCs w:val="24"/>
          <w:highlight w:val="white"/>
        </w:rPr>
        <w:t xml:space="preserve"> (Advisory Opinion) (1 February 2011) ITLOS Reports 10</w:t>
      </w:r>
      <w:r w:rsidR="00F968B5" w:rsidRPr="001347F6">
        <w:rPr>
          <w:sz w:val="24"/>
          <w:szCs w:val="24"/>
          <w:highlight w:val="white"/>
        </w:rPr>
        <w:fldChar w:fldCharType="begin"/>
      </w:r>
      <w:r w:rsidR="00F968B5" w:rsidRPr="001347F6">
        <w:rPr>
          <w:sz w:val="24"/>
          <w:szCs w:val="24"/>
        </w:rPr>
        <w:instrText xml:space="preserve"> TA \l "</w:instrText>
      </w:r>
      <w:r w:rsidR="00F968B5" w:rsidRPr="001347F6">
        <w:rPr>
          <w:i/>
          <w:sz w:val="24"/>
          <w:szCs w:val="24"/>
          <w:highlight w:val="white"/>
        </w:rPr>
        <w:instrText>Responsibilities and obligations of States with respect to activities in the Area</w:instrText>
      </w:r>
      <w:r w:rsidR="00F968B5" w:rsidRPr="001347F6">
        <w:rPr>
          <w:sz w:val="24"/>
          <w:szCs w:val="24"/>
          <w:highlight w:val="white"/>
        </w:rPr>
        <w:instrText xml:space="preserve"> (Advisory Opinion) (1 February 2011) ITLOS Reports 10</w:instrText>
      </w:r>
      <w:r w:rsidR="00F968B5" w:rsidRPr="001347F6">
        <w:rPr>
          <w:sz w:val="24"/>
          <w:szCs w:val="24"/>
        </w:rPr>
        <w:instrText xml:space="preserve">" \s "Responsibilities and obligations of States with respect to activities in the Area" \c 4 </w:instrText>
      </w:r>
      <w:r w:rsidR="00F968B5" w:rsidRPr="001347F6">
        <w:rPr>
          <w:sz w:val="24"/>
          <w:szCs w:val="24"/>
          <w:highlight w:val="white"/>
        </w:rPr>
        <w:fldChar w:fldCharType="end"/>
      </w:r>
      <w:r w:rsidRPr="001347F6">
        <w:rPr>
          <w:sz w:val="24"/>
          <w:szCs w:val="24"/>
          <w:highlight w:val="white"/>
        </w:rPr>
        <w:t xml:space="preserve"> [180]; </w:t>
      </w:r>
      <w:r w:rsidRPr="001347F6">
        <w:rPr>
          <w:i/>
          <w:sz w:val="24"/>
          <w:szCs w:val="24"/>
          <w:highlight w:val="white"/>
        </w:rPr>
        <w:t xml:space="preserve">Prosecutor v. Furundzija </w:t>
      </w:r>
      <w:r w:rsidRPr="001347F6">
        <w:rPr>
          <w:sz w:val="24"/>
          <w:szCs w:val="24"/>
          <w:highlight w:val="white"/>
        </w:rPr>
        <w:t xml:space="preserve">(Trial </w:t>
      </w:r>
      <w:r w:rsidR="007D1B71">
        <w:rPr>
          <w:sz w:val="24"/>
          <w:szCs w:val="24"/>
          <w:highlight w:val="white"/>
        </w:rPr>
        <w:t>Judgment</w:t>
      </w:r>
      <w:r w:rsidRPr="001347F6">
        <w:rPr>
          <w:sz w:val="24"/>
          <w:szCs w:val="24"/>
          <w:highlight w:val="white"/>
        </w:rPr>
        <w:t>) ICTY 95-17 (10 December 1998)</w:t>
      </w:r>
      <w:r w:rsidR="00F968B5" w:rsidRPr="001347F6">
        <w:rPr>
          <w:sz w:val="24"/>
          <w:szCs w:val="24"/>
          <w:highlight w:val="white"/>
        </w:rPr>
        <w:fldChar w:fldCharType="begin"/>
      </w:r>
      <w:r w:rsidR="00F968B5" w:rsidRPr="001347F6">
        <w:rPr>
          <w:sz w:val="24"/>
          <w:szCs w:val="24"/>
        </w:rPr>
        <w:instrText xml:space="preserve"> TA \l "</w:instrText>
      </w:r>
      <w:r w:rsidR="00F968B5" w:rsidRPr="001347F6">
        <w:rPr>
          <w:i/>
          <w:sz w:val="24"/>
          <w:szCs w:val="24"/>
          <w:highlight w:val="white"/>
        </w:rPr>
        <w:instrText xml:space="preserve">Prosecutor v. Furundzija </w:instrText>
      </w:r>
      <w:r w:rsidR="00F968B5" w:rsidRPr="001347F6">
        <w:rPr>
          <w:sz w:val="24"/>
          <w:szCs w:val="24"/>
          <w:highlight w:val="white"/>
        </w:rPr>
        <w:instrText>(Trial Judgement) ICTY 95-17 (10 December 1998)</w:instrText>
      </w:r>
      <w:r w:rsidR="00F968B5" w:rsidRPr="001347F6">
        <w:rPr>
          <w:sz w:val="24"/>
          <w:szCs w:val="24"/>
        </w:rPr>
        <w:instrText xml:space="preserve">" \s "Prosecutor v. Furundzija" \c 4 </w:instrText>
      </w:r>
      <w:r w:rsidR="00F968B5" w:rsidRPr="001347F6">
        <w:rPr>
          <w:sz w:val="24"/>
          <w:szCs w:val="24"/>
          <w:highlight w:val="white"/>
        </w:rPr>
        <w:fldChar w:fldCharType="end"/>
      </w:r>
      <w:r w:rsidRPr="001347F6">
        <w:rPr>
          <w:sz w:val="24"/>
          <w:szCs w:val="24"/>
          <w:highlight w:val="white"/>
        </w:rPr>
        <w:t xml:space="preserve"> </w:t>
      </w:r>
      <w:r w:rsidRPr="001347F6">
        <w:rPr>
          <w:sz w:val="24"/>
          <w:szCs w:val="24"/>
        </w:rPr>
        <w:t>[151]-[152].</w:t>
      </w:r>
    </w:p>
    <w:p w14:paraId="6C485FFE" w14:textId="77777777" w:rsidR="008C2177" w:rsidRPr="001347F6" w:rsidRDefault="008C2177" w:rsidP="001347F6">
      <w:pPr>
        <w:widowControl/>
        <w:jc w:val="both"/>
        <w:rPr>
          <w:sz w:val="24"/>
          <w:szCs w:val="24"/>
          <w:highlight w:val="white"/>
        </w:rPr>
      </w:pPr>
    </w:p>
  </w:footnote>
  <w:footnote w:id="30">
    <w:p w14:paraId="64328A60" w14:textId="2410C7FD" w:rsidR="008C2177" w:rsidRPr="00B05DB3" w:rsidRDefault="00000000" w:rsidP="001347F6">
      <w:pPr>
        <w:widowControl/>
        <w:jc w:val="both"/>
        <w:rPr>
          <w:sz w:val="24"/>
          <w:szCs w:val="24"/>
          <w:highlight w:val="white"/>
        </w:rPr>
      </w:pPr>
      <w:r w:rsidRPr="001347F6">
        <w:rPr>
          <w:sz w:val="24"/>
          <w:szCs w:val="24"/>
          <w:vertAlign w:val="superscript"/>
        </w:rPr>
        <w:footnoteRef/>
      </w:r>
      <w:r w:rsidRPr="001347F6">
        <w:rPr>
          <w:sz w:val="24"/>
          <w:szCs w:val="24"/>
        </w:rPr>
        <w:t xml:space="preserve"> </w:t>
      </w:r>
      <w:r w:rsidRPr="001347F6">
        <w:rPr>
          <w:i/>
          <w:sz w:val="24"/>
          <w:szCs w:val="24"/>
        </w:rPr>
        <w:t xml:space="preserve">Proceedings instituted by South Africa against the State of Israel </w:t>
      </w:r>
      <w:r w:rsidRPr="001347F6">
        <w:rPr>
          <w:sz w:val="24"/>
          <w:szCs w:val="24"/>
        </w:rPr>
        <w:t>(South Africa v Israel) [2023]</w:t>
      </w:r>
      <w:r w:rsidR="00895175" w:rsidRPr="001347F6">
        <w:rPr>
          <w:sz w:val="24"/>
          <w:szCs w:val="24"/>
        </w:rPr>
        <w:fldChar w:fldCharType="begin"/>
      </w:r>
      <w:r w:rsidR="00895175" w:rsidRPr="001347F6">
        <w:rPr>
          <w:sz w:val="24"/>
          <w:szCs w:val="24"/>
        </w:rPr>
        <w:instrText xml:space="preserve"> TA \l "</w:instrText>
      </w:r>
      <w:r w:rsidR="00895175" w:rsidRPr="001347F6">
        <w:rPr>
          <w:i/>
          <w:sz w:val="24"/>
          <w:szCs w:val="24"/>
        </w:rPr>
        <w:instrText xml:space="preserve">Proceedings instituted by South Africa against the State of Israel </w:instrText>
      </w:r>
      <w:r w:rsidR="00895175" w:rsidRPr="001347F6">
        <w:rPr>
          <w:sz w:val="24"/>
          <w:szCs w:val="24"/>
        </w:rPr>
        <w:instrText xml:space="preserve">(South Africa v Israel) [2023]" \s "Proceedings instituted by South Africa against the State of Israel (South Africa v Israel) [2023]" \c 7 </w:instrText>
      </w:r>
      <w:r w:rsidR="00895175" w:rsidRPr="001347F6">
        <w:rPr>
          <w:sz w:val="24"/>
          <w:szCs w:val="24"/>
        </w:rPr>
        <w:fldChar w:fldCharType="end"/>
      </w:r>
      <w:r w:rsidRPr="001347F6">
        <w:rPr>
          <w:sz w:val="24"/>
          <w:szCs w:val="24"/>
        </w:rPr>
        <w:t xml:space="preserve"> [13]; </w:t>
      </w:r>
      <w:r w:rsidRPr="001347F6">
        <w:rPr>
          <w:i/>
          <w:sz w:val="24"/>
          <w:szCs w:val="24"/>
        </w:rPr>
        <w:t>East Timor (Portugal v Australia)</w:t>
      </w:r>
      <w:r w:rsidRPr="001347F6">
        <w:rPr>
          <w:sz w:val="24"/>
          <w:szCs w:val="24"/>
        </w:rPr>
        <w:t xml:space="preserve"> (Memorial of Portugal) [1991]</w:t>
      </w:r>
      <w:r w:rsidR="00895175" w:rsidRPr="001347F6">
        <w:rPr>
          <w:sz w:val="24"/>
          <w:szCs w:val="24"/>
        </w:rPr>
        <w:fldChar w:fldCharType="begin"/>
      </w:r>
      <w:r w:rsidR="00895175" w:rsidRPr="001347F6">
        <w:rPr>
          <w:sz w:val="24"/>
          <w:szCs w:val="24"/>
        </w:rPr>
        <w:instrText xml:space="preserve"> TA \l "</w:instrText>
      </w:r>
      <w:r w:rsidR="00895175" w:rsidRPr="001347F6">
        <w:rPr>
          <w:i/>
          <w:sz w:val="24"/>
          <w:szCs w:val="24"/>
        </w:rPr>
        <w:instrText>East Timor (Portugal v Australia)</w:instrText>
      </w:r>
      <w:r w:rsidR="00895175" w:rsidRPr="001347F6">
        <w:rPr>
          <w:sz w:val="24"/>
          <w:szCs w:val="24"/>
        </w:rPr>
        <w:instrText xml:space="preserve"> (Memorial of Portugal) [1991]" \s "East Timor (Portugal v Australia) (Memorial of Portugal) [1991]" \c 7 </w:instrText>
      </w:r>
      <w:r w:rsidR="00895175" w:rsidRPr="001347F6">
        <w:rPr>
          <w:sz w:val="24"/>
          <w:szCs w:val="24"/>
        </w:rPr>
        <w:fldChar w:fldCharType="end"/>
      </w:r>
      <w:r w:rsidRPr="001347F6">
        <w:rPr>
          <w:sz w:val="24"/>
          <w:szCs w:val="24"/>
        </w:rPr>
        <w:t xml:space="preserve">, [8.3]; </w:t>
      </w:r>
      <w:r w:rsidRPr="001347F6">
        <w:rPr>
          <w:i/>
          <w:sz w:val="24"/>
          <w:szCs w:val="24"/>
        </w:rPr>
        <w:t>Arctic Sunrise Arbitration</w:t>
      </w:r>
      <w:r w:rsidRPr="001347F6">
        <w:rPr>
          <w:sz w:val="24"/>
          <w:szCs w:val="24"/>
        </w:rPr>
        <w:t xml:space="preserve"> (Netherlands v Russian Federation) (Award on the Merits) [2015] PCA-2014-02</w:t>
      </w:r>
      <w:r w:rsidR="00F968B5" w:rsidRPr="001347F6">
        <w:rPr>
          <w:sz w:val="24"/>
          <w:szCs w:val="24"/>
        </w:rPr>
        <w:fldChar w:fldCharType="begin"/>
      </w:r>
      <w:r w:rsidR="00F968B5" w:rsidRPr="001347F6">
        <w:rPr>
          <w:sz w:val="24"/>
          <w:szCs w:val="24"/>
        </w:rPr>
        <w:instrText xml:space="preserve"> TA \l "</w:instrText>
      </w:r>
      <w:r w:rsidR="00F968B5" w:rsidRPr="001347F6">
        <w:rPr>
          <w:i/>
          <w:sz w:val="24"/>
          <w:szCs w:val="24"/>
        </w:rPr>
        <w:instrText>Arctic Sunrise Arbitration</w:instrText>
      </w:r>
      <w:r w:rsidR="00F968B5" w:rsidRPr="001347F6">
        <w:rPr>
          <w:sz w:val="24"/>
          <w:szCs w:val="24"/>
        </w:rPr>
        <w:instrText xml:space="preserve"> (Netherlands v Russian Federation) (Award on the Merits) [2015] PCA-2014-02" \s "Arctic Sunrise Arbitration" \c 4 </w:instrText>
      </w:r>
      <w:r w:rsidR="00F968B5" w:rsidRPr="001347F6">
        <w:rPr>
          <w:sz w:val="24"/>
          <w:szCs w:val="24"/>
        </w:rPr>
        <w:fldChar w:fldCharType="end"/>
      </w:r>
      <w:r w:rsidRPr="001347F6">
        <w:rPr>
          <w:sz w:val="24"/>
          <w:szCs w:val="24"/>
          <w:highlight w:val="white"/>
        </w:rPr>
        <w:t xml:space="preserve"> </w:t>
      </w:r>
      <w:r w:rsidRPr="001347F6">
        <w:rPr>
          <w:sz w:val="24"/>
          <w:szCs w:val="24"/>
        </w:rPr>
        <w:t>[182].</w:t>
      </w:r>
    </w:p>
  </w:footnote>
  <w:footnote w:id="31">
    <w:p w14:paraId="01F38169" w14:textId="2C4FDFC1"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w:t>
      </w:r>
      <w:r w:rsidRPr="001347F6">
        <w:rPr>
          <w:sz w:val="24"/>
          <w:szCs w:val="24"/>
          <w:highlight w:val="white"/>
        </w:rPr>
        <w:t xml:space="preserve"> </w:t>
      </w:r>
      <w:r w:rsidRPr="001347F6">
        <w:rPr>
          <w:sz w:val="24"/>
          <w:szCs w:val="24"/>
        </w:rPr>
        <w:t>General Comment 31</w:t>
      </w:r>
      <w:r w:rsidR="00253941" w:rsidRPr="001347F6">
        <w:rPr>
          <w:sz w:val="24"/>
          <w:szCs w:val="24"/>
        </w:rPr>
        <w:fldChar w:fldCharType="begin"/>
      </w:r>
      <w:r w:rsidR="00253941" w:rsidRPr="001347F6">
        <w:rPr>
          <w:sz w:val="24"/>
          <w:szCs w:val="24"/>
        </w:rPr>
        <w:instrText xml:space="preserve"> TA \s "General Comment 31" </w:instrText>
      </w:r>
      <w:r w:rsidR="00253941" w:rsidRPr="001347F6">
        <w:rPr>
          <w:sz w:val="24"/>
          <w:szCs w:val="24"/>
        </w:rPr>
        <w:fldChar w:fldCharType="end"/>
      </w:r>
      <w:r w:rsidRPr="001347F6">
        <w:rPr>
          <w:sz w:val="24"/>
          <w:szCs w:val="24"/>
        </w:rPr>
        <w:t>, [2].</w:t>
      </w:r>
    </w:p>
    <w:p w14:paraId="75B84845" w14:textId="77777777" w:rsidR="008C2177" w:rsidRPr="001347F6" w:rsidRDefault="008C2177" w:rsidP="001347F6">
      <w:pPr>
        <w:widowControl/>
        <w:jc w:val="both"/>
        <w:rPr>
          <w:sz w:val="24"/>
          <w:szCs w:val="24"/>
        </w:rPr>
      </w:pPr>
    </w:p>
  </w:footnote>
  <w:footnote w:id="32">
    <w:p w14:paraId="39B988F0" w14:textId="200A6F6B" w:rsidR="008C2177" w:rsidRPr="001347F6" w:rsidRDefault="00000000" w:rsidP="001347F6">
      <w:pPr>
        <w:widowControl/>
        <w:jc w:val="both"/>
        <w:rPr>
          <w:sz w:val="24"/>
          <w:szCs w:val="24"/>
          <w:highlight w:val="white"/>
        </w:rPr>
      </w:pPr>
      <w:r w:rsidRPr="001347F6">
        <w:rPr>
          <w:sz w:val="24"/>
          <w:szCs w:val="24"/>
          <w:vertAlign w:val="superscript"/>
        </w:rPr>
        <w:footnoteRef/>
      </w:r>
      <w:r w:rsidRPr="001347F6">
        <w:rPr>
          <w:sz w:val="24"/>
          <w:szCs w:val="24"/>
        </w:rPr>
        <w:t xml:space="preserve"> </w:t>
      </w:r>
      <w:r w:rsidRPr="001347F6">
        <w:rPr>
          <w:sz w:val="24"/>
          <w:szCs w:val="24"/>
          <w:highlight w:val="white"/>
        </w:rPr>
        <w:t>Koskenniemi, M. ‘Fragmentation of international law</w:t>
      </w:r>
      <w:r w:rsidR="00F546BD">
        <w:rPr>
          <w:sz w:val="24"/>
          <w:szCs w:val="24"/>
          <w:highlight w:val="white"/>
        </w:rPr>
        <w:t xml:space="preserve"> -</w:t>
      </w:r>
      <w:r w:rsidRPr="001347F6">
        <w:rPr>
          <w:sz w:val="24"/>
          <w:szCs w:val="24"/>
          <w:highlight w:val="white"/>
        </w:rPr>
        <w:t xml:space="preserve"> </w:t>
      </w:r>
      <w:r w:rsidR="00F546BD">
        <w:rPr>
          <w:sz w:val="24"/>
          <w:szCs w:val="24"/>
          <w:highlight w:val="white"/>
        </w:rPr>
        <w:t>R</w:t>
      </w:r>
      <w:r w:rsidRPr="001347F6">
        <w:rPr>
          <w:sz w:val="24"/>
          <w:szCs w:val="24"/>
          <w:highlight w:val="white"/>
        </w:rPr>
        <w:t>eport of the Study Group of the International Law Commission’ (13 April 2006) UN Doc A/CN.4/L.682</w:t>
      </w:r>
      <w:r w:rsidR="00AE7683" w:rsidRPr="001347F6">
        <w:rPr>
          <w:sz w:val="24"/>
          <w:szCs w:val="24"/>
          <w:highlight w:val="white"/>
        </w:rPr>
        <w:fldChar w:fldCharType="begin"/>
      </w:r>
      <w:r w:rsidR="00AE7683" w:rsidRPr="001347F6">
        <w:rPr>
          <w:sz w:val="24"/>
          <w:szCs w:val="24"/>
        </w:rPr>
        <w:instrText xml:space="preserve"> TA \l "</w:instrText>
      </w:r>
      <w:r w:rsidR="00AE7683" w:rsidRPr="001347F6">
        <w:rPr>
          <w:sz w:val="24"/>
          <w:szCs w:val="24"/>
          <w:highlight w:val="white"/>
        </w:rPr>
        <w:instrText>Koskenniemi, M. ‘Fragmentation of international law: difficulties arising from the diversification and expansion of international law: report of the Study Group of the International Law Commission’ (13 April 2006) UN Doc A/CN.4/L.682</w:instrText>
      </w:r>
      <w:r w:rsidR="00AE7683" w:rsidRPr="001347F6">
        <w:rPr>
          <w:sz w:val="24"/>
          <w:szCs w:val="24"/>
        </w:rPr>
        <w:instrText xml:space="preserve">" \s "Koskenniemi, M. ‘Fragmentation of international law: difficulties arising from the diversification and expansion of international law: report of the Study Group of the International Law Commission’ (13 April 2006) UN Doc A/CN.4/L.682" \c 7 </w:instrText>
      </w:r>
      <w:r w:rsidR="00AE7683" w:rsidRPr="001347F6">
        <w:rPr>
          <w:sz w:val="24"/>
          <w:szCs w:val="24"/>
          <w:highlight w:val="white"/>
        </w:rPr>
        <w:fldChar w:fldCharType="end"/>
      </w:r>
      <w:r w:rsidRPr="001347F6">
        <w:rPr>
          <w:sz w:val="24"/>
          <w:szCs w:val="24"/>
          <w:highlight w:val="white"/>
        </w:rPr>
        <w:t xml:space="preserve"> [404].</w:t>
      </w:r>
    </w:p>
    <w:p w14:paraId="1DC73223" w14:textId="77777777" w:rsidR="008C2177" w:rsidRPr="001347F6" w:rsidRDefault="008C2177" w:rsidP="001347F6">
      <w:pPr>
        <w:widowControl/>
        <w:jc w:val="both"/>
        <w:rPr>
          <w:sz w:val="24"/>
          <w:szCs w:val="24"/>
        </w:rPr>
      </w:pPr>
    </w:p>
  </w:footnote>
  <w:footnote w:id="33">
    <w:p w14:paraId="7DDB1F1C" w14:textId="0087B511" w:rsidR="008C2177" w:rsidRPr="001347F6" w:rsidRDefault="00000000" w:rsidP="001347F6">
      <w:pPr>
        <w:widowControl/>
        <w:jc w:val="both"/>
        <w:rPr>
          <w:sz w:val="24"/>
          <w:szCs w:val="24"/>
          <w:highlight w:val="white"/>
        </w:rPr>
      </w:pPr>
      <w:r w:rsidRPr="001347F6">
        <w:rPr>
          <w:sz w:val="24"/>
          <w:szCs w:val="24"/>
          <w:vertAlign w:val="superscript"/>
        </w:rPr>
        <w:footnoteRef/>
      </w:r>
      <w:r w:rsidRPr="001347F6">
        <w:rPr>
          <w:sz w:val="24"/>
          <w:szCs w:val="24"/>
        </w:rPr>
        <w:t xml:space="preserve"> </w:t>
      </w:r>
      <w:r w:rsidRPr="001347F6">
        <w:rPr>
          <w:sz w:val="24"/>
          <w:szCs w:val="24"/>
          <w:highlight w:val="white"/>
        </w:rPr>
        <w:t>ILC, Articles on Responsibility of States for Internationally Wrongful Act with commentaries, adopted by the ILC at its 53rd Session., UN Doc A/56/10 (2001) [‘ARSIWA commentaries’</w:t>
      </w:r>
      <w:r w:rsidR="00B16E0A" w:rsidRPr="001347F6">
        <w:rPr>
          <w:sz w:val="24"/>
          <w:szCs w:val="24"/>
          <w:highlight w:val="white"/>
        </w:rPr>
        <w:t>]</w:t>
      </w:r>
      <w:r w:rsidR="000E212C" w:rsidRPr="001347F6">
        <w:rPr>
          <w:sz w:val="24"/>
          <w:szCs w:val="24"/>
          <w:highlight w:val="white"/>
        </w:rPr>
        <w:fldChar w:fldCharType="begin"/>
      </w:r>
      <w:r w:rsidR="000E212C" w:rsidRPr="001347F6">
        <w:rPr>
          <w:sz w:val="24"/>
          <w:szCs w:val="24"/>
        </w:rPr>
        <w:instrText xml:space="preserve"> TA \l "</w:instrText>
      </w:r>
      <w:r w:rsidR="000E212C" w:rsidRPr="001347F6">
        <w:rPr>
          <w:sz w:val="24"/>
          <w:szCs w:val="24"/>
          <w:highlight w:val="white"/>
        </w:rPr>
        <w:instrText>ILC, Articles on Responsibility of States for Internationally Wrongful Act with commentaries, adopted by the ILC at its 53rd Session., UN Doc A/56/10 (2001) [‘ARSIWA commentaries’]</w:instrText>
      </w:r>
      <w:r w:rsidR="000E212C" w:rsidRPr="001347F6">
        <w:rPr>
          <w:sz w:val="24"/>
          <w:szCs w:val="24"/>
        </w:rPr>
        <w:instrText xml:space="preserve">" \s "ARSIWA commentaries" \c 7 </w:instrText>
      </w:r>
      <w:r w:rsidR="000E212C" w:rsidRPr="001347F6">
        <w:rPr>
          <w:sz w:val="24"/>
          <w:szCs w:val="24"/>
          <w:highlight w:val="white"/>
        </w:rPr>
        <w:fldChar w:fldCharType="end"/>
      </w:r>
      <w:r w:rsidR="00B16E0A" w:rsidRPr="001347F6">
        <w:rPr>
          <w:sz w:val="24"/>
          <w:szCs w:val="24"/>
          <w:highlight w:val="white"/>
        </w:rPr>
        <w:t>,</w:t>
      </w:r>
      <w:r w:rsidRPr="001347F6">
        <w:rPr>
          <w:sz w:val="24"/>
          <w:szCs w:val="24"/>
          <w:highlight w:val="white"/>
        </w:rPr>
        <w:t xml:space="preserve"> Art 48 [9].</w:t>
      </w:r>
    </w:p>
    <w:p w14:paraId="5A45706D" w14:textId="77777777" w:rsidR="008C2177" w:rsidRPr="001347F6" w:rsidRDefault="008C2177" w:rsidP="001347F6">
      <w:pPr>
        <w:widowControl/>
        <w:jc w:val="both"/>
        <w:rPr>
          <w:sz w:val="24"/>
          <w:szCs w:val="24"/>
        </w:rPr>
      </w:pPr>
    </w:p>
  </w:footnote>
  <w:footnote w:id="34">
    <w:p w14:paraId="34F6FE29" w14:textId="19179C23"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w:t>
      </w:r>
      <w:r w:rsidR="00916901" w:rsidRPr="001347F6">
        <w:rPr>
          <w:i/>
          <w:sz w:val="24"/>
          <w:szCs w:val="24"/>
        </w:rPr>
        <w:t>Tams 2005</w:t>
      </w:r>
      <w:r w:rsidR="00916901" w:rsidRPr="001347F6">
        <w:rPr>
          <w:i/>
          <w:sz w:val="24"/>
          <w:szCs w:val="24"/>
        </w:rPr>
        <w:fldChar w:fldCharType="begin"/>
      </w:r>
      <w:r w:rsidR="00916901" w:rsidRPr="001347F6">
        <w:rPr>
          <w:i/>
          <w:sz w:val="24"/>
          <w:szCs w:val="24"/>
        </w:rPr>
        <w:instrText xml:space="preserve"> TA \s "Tams 2005" </w:instrText>
      </w:r>
      <w:r w:rsidR="00916901" w:rsidRPr="001347F6">
        <w:rPr>
          <w:i/>
          <w:sz w:val="24"/>
          <w:szCs w:val="24"/>
        </w:rPr>
        <w:fldChar w:fldCharType="end"/>
      </w:r>
      <w:r w:rsidR="00916901" w:rsidRPr="001347F6">
        <w:rPr>
          <w:sz w:val="24"/>
          <w:szCs w:val="24"/>
        </w:rPr>
        <w:t>,</w:t>
      </w:r>
      <w:r w:rsidR="00916901" w:rsidRPr="001347F6">
        <w:rPr>
          <w:sz w:val="24"/>
          <w:szCs w:val="24"/>
          <w:highlight w:val="white"/>
        </w:rPr>
        <w:t xml:space="preserve"> pp. 153</w:t>
      </w:r>
      <w:r w:rsidR="00916901" w:rsidRPr="001347F6">
        <w:rPr>
          <w:sz w:val="24"/>
          <w:szCs w:val="24"/>
          <w:highlight w:val="white"/>
        </w:rPr>
        <w:t xml:space="preserve">; </w:t>
      </w:r>
      <w:r w:rsidRPr="001347F6">
        <w:rPr>
          <w:i/>
          <w:sz w:val="24"/>
          <w:szCs w:val="24"/>
          <w:highlight w:val="white"/>
        </w:rPr>
        <w:t>East Timor (Portugal v Australia)</w:t>
      </w:r>
      <w:r w:rsidRPr="001347F6">
        <w:rPr>
          <w:sz w:val="24"/>
          <w:szCs w:val="24"/>
          <w:highlight w:val="white"/>
        </w:rPr>
        <w:t xml:space="preserve"> (Dissenting Opinion Judge Weeramantry) [1995] ICJ Rep 194</w:t>
      </w:r>
      <w:r w:rsidR="0008059B" w:rsidRPr="001347F6">
        <w:rPr>
          <w:sz w:val="24"/>
          <w:szCs w:val="24"/>
          <w:highlight w:val="white"/>
        </w:rPr>
        <w:fldChar w:fldCharType="begin"/>
      </w:r>
      <w:r w:rsidR="0008059B" w:rsidRPr="001347F6">
        <w:rPr>
          <w:sz w:val="24"/>
          <w:szCs w:val="24"/>
        </w:rPr>
        <w:instrText xml:space="preserve"> TA \l "</w:instrText>
      </w:r>
      <w:r w:rsidR="0008059B" w:rsidRPr="001347F6">
        <w:rPr>
          <w:i/>
          <w:sz w:val="24"/>
          <w:szCs w:val="24"/>
          <w:highlight w:val="white"/>
        </w:rPr>
        <w:instrText>East Timor (Portugal v Australia)</w:instrText>
      </w:r>
      <w:r w:rsidR="0008059B" w:rsidRPr="001347F6">
        <w:rPr>
          <w:sz w:val="24"/>
          <w:szCs w:val="24"/>
          <w:highlight w:val="white"/>
        </w:rPr>
        <w:instrText xml:space="preserve"> (Dissenting Opinion Judge Weeramantry) [1995] ICJ Rep 194</w:instrText>
      </w:r>
      <w:r w:rsidR="0008059B" w:rsidRPr="001347F6">
        <w:rPr>
          <w:sz w:val="24"/>
          <w:szCs w:val="24"/>
        </w:rPr>
        <w:instrText xml:space="preserve">" \s "East Timor (Dissenting Opinion Judge Weeramantry)" \c 1 </w:instrText>
      </w:r>
      <w:r w:rsidR="0008059B" w:rsidRPr="001347F6">
        <w:rPr>
          <w:sz w:val="24"/>
          <w:szCs w:val="24"/>
          <w:highlight w:val="white"/>
        </w:rPr>
        <w:fldChar w:fldCharType="end"/>
      </w:r>
      <w:r w:rsidRPr="001347F6">
        <w:rPr>
          <w:sz w:val="24"/>
          <w:szCs w:val="24"/>
          <w:highlight w:val="white"/>
        </w:rPr>
        <w:t xml:space="preserve">, pp. 108-110. </w:t>
      </w:r>
      <w:r w:rsidRPr="001347F6">
        <w:rPr>
          <w:i/>
          <w:sz w:val="24"/>
          <w:szCs w:val="24"/>
          <w:highlight w:val="white"/>
        </w:rPr>
        <w:t>East Timor (Portugal v Australia)</w:t>
      </w:r>
      <w:r w:rsidRPr="001347F6">
        <w:rPr>
          <w:sz w:val="24"/>
          <w:szCs w:val="24"/>
          <w:highlight w:val="white"/>
        </w:rPr>
        <w:t xml:space="preserve"> (Dissenting Opinion Judge Skubiszewski) [1995] ICJ Rep 266</w:t>
      </w:r>
      <w:r w:rsidR="0008059B" w:rsidRPr="001347F6">
        <w:rPr>
          <w:sz w:val="24"/>
          <w:szCs w:val="24"/>
          <w:highlight w:val="white"/>
        </w:rPr>
        <w:fldChar w:fldCharType="begin"/>
      </w:r>
      <w:r w:rsidR="0008059B" w:rsidRPr="001347F6">
        <w:rPr>
          <w:sz w:val="24"/>
          <w:szCs w:val="24"/>
        </w:rPr>
        <w:instrText xml:space="preserve"> TA \l "</w:instrText>
      </w:r>
      <w:r w:rsidR="0008059B" w:rsidRPr="001347F6">
        <w:rPr>
          <w:i/>
          <w:sz w:val="24"/>
          <w:szCs w:val="24"/>
          <w:highlight w:val="white"/>
        </w:rPr>
        <w:instrText>East Timor (Portugal v Australia)</w:instrText>
      </w:r>
      <w:r w:rsidR="0008059B" w:rsidRPr="001347F6">
        <w:rPr>
          <w:sz w:val="24"/>
          <w:szCs w:val="24"/>
          <w:highlight w:val="white"/>
        </w:rPr>
        <w:instrText xml:space="preserve"> (Dissenting Opinion Judge Skubiszewski) [1995] ICJ Rep 266</w:instrText>
      </w:r>
      <w:r w:rsidR="0008059B" w:rsidRPr="001347F6">
        <w:rPr>
          <w:sz w:val="24"/>
          <w:szCs w:val="24"/>
        </w:rPr>
        <w:instrText xml:space="preserve">" \s "East Timor (Dissenting Opinion Judge Skubiszewski)" \c 1 </w:instrText>
      </w:r>
      <w:r w:rsidR="0008059B" w:rsidRPr="001347F6">
        <w:rPr>
          <w:sz w:val="24"/>
          <w:szCs w:val="24"/>
          <w:highlight w:val="white"/>
        </w:rPr>
        <w:fldChar w:fldCharType="end"/>
      </w:r>
      <w:r w:rsidRPr="001347F6">
        <w:rPr>
          <w:sz w:val="24"/>
          <w:szCs w:val="24"/>
          <w:highlight w:val="white"/>
        </w:rPr>
        <w:t xml:space="preserve"> [136]-[138].</w:t>
      </w:r>
    </w:p>
    <w:p w14:paraId="02812857" w14:textId="77777777" w:rsidR="008C2177" w:rsidRPr="001347F6" w:rsidRDefault="008C2177" w:rsidP="001347F6">
      <w:pPr>
        <w:widowControl/>
        <w:jc w:val="both"/>
        <w:rPr>
          <w:sz w:val="24"/>
          <w:szCs w:val="24"/>
        </w:rPr>
      </w:pPr>
    </w:p>
  </w:footnote>
  <w:footnote w:id="35">
    <w:p w14:paraId="2FF542FC" w14:textId="70BE5CFD" w:rsidR="008C2177" w:rsidRPr="001347F6" w:rsidRDefault="00000000" w:rsidP="001347F6">
      <w:pPr>
        <w:widowControl/>
        <w:shd w:val="clear" w:color="auto" w:fill="FFFFFF"/>
        <w:jc w:val="both"/>
        <w:rPr>
          <w:sz w:val="24"/>
          <w:szCs w:val="24"/>
        </w:rPr>
      </w:pPr>
      <w:r w:rsidRPr="001347F6">
        <w:rPr>
          <w:sz w:val="24"/>
          <w:szCs w:val="24"/>
          <w:vertAlign w:val="superscript"/>
        </w:rPr>
        <w:footnoteRef/>
      </w:r>
      <w:r w:rsidRPr="001347F6">
        <w:rPr>
          <w:i/>
          <w:sz w:val="24"/>
          <w:szCs w:val="24"/>
        </w:rPr>
        <w:t xml:space="preserve"> Proposed Amendments to the Naturalization Provision of the Constitution of Costa Rica</w:t>
      </w:r>
      <w:r w:rsidRPr="001347F6">
        <w:rPr>
          <w:sz w:val="24"/>
          <w:szCs w:val="24"/>
        </w:rPr>
        <w:t xml:space="preserve"> </w:t>
      </w:r>
      <w:r w:rsidRPr="001347F6">
        <w:rPr>
          <w:i/>
          <w:sz w:val="24"/>
          <w:szCs w:val="24"/>
          <w:highlight w:val="white"/>
        </w:rPr>
        <w:t>OC-4/84</w:t>
      </w:r>
      <w:r w:rsidRPr="001347F6">
        <w:rPr>
          <w:sz w:val="24"/>
          <w:szCs w:val="24"/>
          <w:highlight w:val="white"/>
        </w:rPr>
        <w:t xml:space="preserve"> </w:t>
      </w:r>
      <w:r w:rsidRPr="001347F6">
        <w:rPr>
          <w:sz w:val="24"/>
          <w:szCs w:val="24"/>
        </w:rPr>
        <w:t xml:space="preserve">(Advisory Opinion) IACtHR </w:t>
      </w:r>
      <w:r w:rsidRPr="001347F6">
        <w:rPr>
          <w:sz w:val="24"/>
          <w:szCs w:val="24"/>
          <w:highlight w:val="white"/>
        </w:rPr>
        <w:t>Series A No. 4</w:t>
      </w:r>
      <w:r w:rsidRPr="001347F6">
        <w:rPr>
          <w:color w:val="3F3F3F"/>
          <w:sz w:val="24"/>
          <w:szCs w:val="24"/>
        </w:rPr>
        <w:t xml:space="preserve"> </w:t>
      </w:r>
      <w:r w:rsidRPr="001347F6">
        <w:rPr>
          <w:sz w:val="24"/>
          <w:szCs w:val="24"/>
        </w:rPr>
        <w:t>(19 January 1984) [</w:t>
      </w:r>
      <w:r w:rsidRPr="001347F6">
        <w:rPr>
          <w:i/>
          <w:sz w:val="24"/>
          <w:szCs w:val="24"/>
        </w:rPr>
        <w:t>‘IACtHR</w:t>
      </w:r>
      <w:r w:rsidRPr="001347F6">
        <w:rPr>
          <w:sz w:val="24"/>
          <w:szCs w:val="24"/>
        </w:rPr>
        <w:t xml:space="preserve"> </w:t>
      </w:r>
      <w:r w:rsidRPr="001347F6">
        <w:rPr>
          <w:i/>
          <w:sz w:val="24"/>
          <w:szCs w:val="24"/>
          <w:highlight w:val="white"/>
        </w:rPr>
        <w:t>OC-4/84’</w:t>
      </w:r>
      <w:r w:rsidRPr="001347F6">
        <w:rPr>
          <w:sz w:val="24"/>
          <w:szCs w:val="24"/>
        </w:rPr>
        <w:t>]</w:t>
      </w:r>
      <w:r w:rsidR="0008059B" w:rsidRPr="001347F6">
        <w:rPr>
          <w:sz w:val="24"/>
          <w:szCs w:val="24"/>
        </w:rPr>
        <w:fldChar w:fldCharType="begin"/>
      </w:r>
      <w:r w:rsidR="0008059B" w:rsidRPr="001347F6">
        <w:rPr>
          <w:sz w:val="24"/>
          <w:szCs w:val="24"/>
        </w:rPr>
        <w:instrText xml:space="preserve"> TA \l "</w:instrText>
      </w:r>
      <w:r w:rsidR="0008059B" w:rsidRPr="001347F6">
        <w:rPr>
          <w:i/>
          <w:sz w:val="24"/>
          <w:szCs w:val="24"/>
        </w:rPr>
        <w:instrText>Proposed Amendments to the Naturalization Provision of the Constitution of Costa Rica</w:instrText>
      </w:r>
      <w:r w:rsidR="0008059B" w:rsidRPr="001347F6">
        <w:rPr>
          <w:sz w:val="24"/>
          <w:szCs w:val="24"/>
        </w:rPr>
        <w:instrText xml:space="preserve"> </w:instrText>
      </w:r>
      <w:r w:rsidR="0008059B" w:rsidRPr="001347F6">
        <w:rPr>
          <w:i/>
          <w:sz w:val="24"/>
          <w:szCs w:val="24"/>
          <w:highlight w:val="white"/>
        </w:rPr>
        <w:instrText>OC-4/84</w:instrText>
      </w:r>
      <w:r w:rsidR="0008059B" w:rsidRPr="001347F6">
        <w:rPr>
          <w:sz w:val="24"/>
          <w:szCs w:val="24"/>
          <w:highlight w:val="white"/>
        </w:rPr>
        <w:instrText xml:space="preserve"> </w:instrText>
      </w:r>
      <w:r w:rsidR="0008059B" w:rsidRPr="001347F6">
        <w:rPr>
          <w:sz w:val="24"/>
          <w:szCs w:val="24"/>
        </w:rPr>
        <w:instrText xml:space="preserve">(Advisory Opinion) IACtHR </w:instrText>
      </w:r>
      <w:r w:rsidR="0008059B" w:rsidRPr="001347F6">
        <w:rPr>
          <w:sz w:val="24"/>
          <w:szCs w:val="24"/>
          <w:highlight w:val="white"/>
        </w:rPr>
        <w:instrText>Series A No. 4</w:instrText>
      </w:r>
      <w:r w:rsidR="0008059B" w:rsidRPr="001347F6">
        <w:rPr>
          <w:color w:val="3F3F3F"/>
          <w:sz w:val="24"/>
          <w:szCs w:val="24"/>
        </w:rPr>
        <w:instrText xml:space="preserve"> </w:instrText>
      </w:r>
      <w:r w:rsidR="0008059B" w:rsidRPr="001347F6">
        <w:rPr>
          <w:sz w:val="24"/>
          <w:szCs w:val="24"/>
        </w:rPr>
        <w:instrText>(19 January 1984) [</w:instrText>
      </w:r>
      <w:r w:rsidR="0008059B" w:rsidRPr="001347F6">
        <w:rPr>
          <w:i/>
          <w:sz w:val="24"/>
          <w:szCs w:val="24"/>
        </w:rPr>
        <w:instrText>‘IACtHR</w:instrText>
      </w:r>
      <w:r w:rsidR="0008059B" w:rsidRPr="001347F6">
        <w:rPr>
          <w:sz w:val="24"/>
          <w:szCs w:val="24"/>
        </w:rPr>
        <w:instrText xml:space="preserve"> </w:instrText>
      </w:r>
      <w:r w:rsidR="0008059B" w:rsidRPr="001347F6">
        <w:rPr>
          <w:i/>
          <w:sz w:val="24"/>
          <w:szCs w:val="24"/>
          <w:highlight w:val="white"/>
        </w:rPr>
        <w:instrText>OC-4/84’</w:instrText>
      </w:r>
      <w:r w:rsidR="0008059B" w:rsidRPr="001347F6">
        <w:rPr>
          <w:sz w:val="24"/>
          <w:szCs w:val="24"/>
        </w:rPr>
        <w:instrText xml:space="preserve">]" \s "IACtHR OC-4/84" \c 4 </w:instrText>
      </w:r>
      <w:r w:rsidR="0008059B" w:rsidRPr="001347F6">
        <w:rPr>
          <w:sz w:val="24"/>
          <w:szCs w:val="24"/>
        </w:rPr>
        <w:fldChar w:fldCharType="end"/>
      </w:r>
      <w:r w:rsidRPr="001347F6">
        <w:rPr>
          <w:sz w:val="24"/>
          <w:szCs w:val="24"/>
        </w:rPr>
        <w:t xml:space="preserve"> [</w:t>
      </w:r>
      <w:r w:rsidR="00916901" w:rsidRPr="001347F6">
        <w:rPr>
          <w:sz w:val="24"/>
          <w:szCs w:val="24"/>
        </w:rPr>
        <w:t>32</w:t>
      </w:r>
      <w:r w:rsidRPr="001347F6">
        <w:rPr>
          <w:sz w:val="24"/>
          <w:szCs w:val="24"/>
        </w:rPr>
        <w:t>].</w:t>
      </w:r>
    </w:p>
    <w:p w14:paraId="6F178BEC" w14:textId="77777777" w:rsidR="008C2177" w:rsidRPr="001347F6" w:rsidRDefault="008C2177" w:rsidP="001347F6">
      <w:pPr>
        <w:widowControl/>
        <w:jc w:val="both"/>
        <w:rPr>
          <w:sz w:val="24"/>
          <w:szCs w:val="24"/>
        </w:rPr>
      </w:pPr>
    </w:p>
  </w:footnote>
  <w:footnote w:id="36">
    <w:p w14:paraId="2863E2ED" w14:textId="260D3BC8" w:rsid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w:t>
      </w:r>
      <w:r w:rsidRPr="001347F6">
        <w:rPr>
          <w:i/>
          <w:sz w:val="24"/>
          <w:szCs w:val="24"/>
          <w:highlight w:val="white"/>
        </w:rPr>
        <w:t xml:space="preserve">Petropavlovskis v. Latvia </w:t>
      </w:r>
      <w:r w:rsidRPr="001347F6">
        <w:rPr>
          <w:sz w:val="24"/>
          <w:szCs w:val="24"/>
          <w:highlight w:val="white"/>
        </w:rPr>
        <w:t>(</w:t>
      </w:r>
      <w:r w:rsidR="007D1B71">
        <w:rPr>
          <w:sz w:val="24"/>
          <w:szCs w:val="24"/>
          <w:highlight w:val="white"/>
        </w:rPr>
        <w:t>Judgment</w:t>
      </w:r>
      <w:r w:rsidRPr="001347F6">
        <w:rPr>
          <w:sz w:val="24"/>
          <w:szCs w:val="24"/>
          <w:highlight w:val="white"/>
        </w:rPr>
        <w:t>) ECHR</w:t>
      </w:r>
      <w:r w:rsidRPr="001347F6">
        <w:rPr>
          <w:i/>
          <w:sz w:val="24"/>
          <w:szCs w:val="24"/>
          <w:highlight w:val="white"/>
        </w:rPr>
        <w:t xml:space="preserve"> </w:t>
      </w:r>
      <w:r w:rsidRPr="001347F6">
        <w:rPr>
          <w:sz w:val="24"/>
          <w:szCs w:val="24"/>
          <w:highlight w:val="white"/>
        </w:rPr>
        <w:t>App. No. 44230/06 (2 May 2021) [‘</w:t>
      </w:r>
      <w:r w:rsidRPr="001347F6">
        <w:rPr>
          <w:i/>
          <w:sz w:val="24"/>
          <w:szCs w:val="24"/>
          <w:highlight w:val="white"/>
        </w:rPr>
        <w:t>Petropavlovskis v. Latvia</w:t>
      </w:r>
      <w:r w:rsidRPr="001347F6">
        <w:rPr>
          <w:sz w:val="24"/>
          <w:szCs w:val="24"/>
          <w:highlight w:val="white"/>
        </w:rPr>
        <w:t>’]</w:t>
      </w:r>
      <w:r w:rsidR="0008059B" w:rsidRPr="001347F6">
        <w:rPr>
          <w:sz w:val="24"/>
          <w:szCs w:val="24"/>
          <w:highlight w:val="white"/>
        </w:rPr>
        <w:fldChar w:fldCharType="begin"/>
      </w:r>
      <w:r w:rsidR="0008059B" w:rsidRPr="001347F6">
        <w:rPr>
          <w:sz w:val="24"/>
          <w:szCs w:val="24"/>
        </w:rPr>
        <w:instrText xml:space="preserve"> TA \l "</w:instrText>
      </w:r>
      <w:r w:rsidR="0008059B" w:rsidRPr="001347F6">
        <w:rPr>
          <w:i/>
          <w:sz w:val="24"/>
          <w:szCs w:val="24"/>
          <w:highlight w:val="white"/>
        </w:rPr>
        <w:instrText xml:space="preserve">Petropavlovskis v. Latvia </w:instrText>
      </w:r>
      <w:r w:rsidR="0008059B" w:rsidRPr="001347F6">
        <w:rPr>
          <w:sz w:val="24"/>
          <w:szCs w:val="24"/>
          <w:highlight w:val="white"/>
        </w:rPr>
        <w:instrText>(Judgement) ECHR</w:instrText>
      </w:r>
      <w:r w:rsidR="0008059B" w:rsidRPr="001347F6">
        <w:rPr>
          <w:i/>
          <w:sz w:val="24"/>
          <w:szCs w:val="24"/>
          <w:highlight w:val="white"/>
        </w:rPr>
        <w:instrText xml:space="preserve"> </w:instrText>
      </w:r>
      <w:r w:rsidR="0008059B" w:rsidRPr="001347F6">
        <w:rPr>
          <w:sz w:val="24"/>
          <w:szCs w:val="24"/>
          <w:highlight w:val="white"/>
        </w:rPr>
        <w:instrText>App. No. 44230/06 (2 May 2021) [‘</w:instrText>
      </w:r>
      <w:r w:rsidR="0008059B" w:rsidRPr="001347F6">
        <w:rPr>
          <w:i/>
          <w:sz w:val="24"/>
          <w:szCs w:val="24"/>
          <w:highlight w:val="white"/>
        </w:rPr>
        <w:instrText>Petropavlovskis v. Latvia</w:instrText>
      </w:r>
      <w:r w:rsidR="0008059B" w:rsidRPr="001347F6">
        <w:rPr>
          <w:sz w:val="24"/>
          <w:szCs w:val="24"/>
          <w:highlight w:val="white"/>
        </w:rPr>
        <w:instrText>’]</w:instrText>
      </w:r>
      <w:r w:rsidR="0008059B" w:rsidRPr="001347F6">
        <w:rPr>
          <w:sz w:val="24"/>
          <w:szCs w:val="24"/>
        </w:rPr>
        <w:instrText xml:space="preserve">" \s "Petropavlovskis v. Latvia" \c 4 </w:instrText>
      </w:r>
      <w:r w:rsidR="0008059B" w:rsidRPr="001347F6">
        <w:rPr>
          <w:sz w:val="24"/>
          <w:szCs w:val="24"/>
          <w:highlight w:val="white"/>
        </w:rPr>
        <w:fldChar w:fldCharType="end"/>
      </w:r>
      <w:r w:rsidRPr="001347F6">
        <w:rPr>
          <w:sz w:val="24"/>
          <w:szCs w:val="24"/>
          <w:highlight w:val="white"/>
        </w:rPr>
        <w:t xml:space="preserve"> </w:t>
      </w:r>
      <w:r w:rsidRPr="001347F6">
        <w:rPr>
          <w:sz w:val="24"/>
          <w:szCs w:val="24"/>
        </w:rPr>
        <w:t>[43].</w:t>
      </w:r>
    </w:p>
    <w:p w14:paraId="33CBD8D4" w14:textId="77777777" w:rsidR="001347F6" w:rsidRPr="001347F6" w:rsidRDefault="001347F6" w:rsidP="001347F6">
      <w:pPr>
        <w:widowControl/>
        <w:jc w:val="both"/>
        <w:rPr>
          <w:sz w:val="24"/>
          <w:szCs w:val="24"/>
        </w:rPr>
      </w:pPr>
    </w:p>
  </w:footnote>
  <w:footnote w:id="37">
    <w:p w14:paraId="20569605" w14:textId="3351EA9E"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ICCPR</w:t>
      </w:r>
      <w:r w:rsidR="000E212C" w:rsidRPr="001347F6">
        <w:rPr>
          <w:sz w:val="24"/>
          <w:szCs w:val="24"/>
        </w:rPr>
        <w:fldChar w:fldCharType="begin"/>
      </w:r>
      <w:r w:rsidR="000E212C" w:rsidRPr="001347F6">
        <w:rPr>
          <w:sz w:val="24"/>
          <w:szCs w:val="24"/>
        </w:rPr>
        <w:instrText xml:space="preserve"> TA \s "ICCPR" </w:instrText>
      </w:r>
      <w:r w:rsidR="000E212C" w:rsidRPr="001347F6">
        <w:rPr>
          <w:sz w:val="24"/>
          <w:szCs w:val="24"/>
        </w:rPr>
        <w:fldChar w:fldCharType="end"/>
      </w:r>
      <w:r w:rsidRPr="001347F6">
        <w:rPr>
          <w:sz w:val="24"/>
          <w:szCs w:val="24"/>
        </w:rPr>
        <w:t>,</w:t>
      </w:r>
      <w:r w:rsidR="00B16E0A" w:rsidRPr="001347F6">
        <w:rPr>
          <w:sz w:val="24"/>
          <w:szCs w:val="24"/>
        </w:rPr>
        <w:t xml:space="preserve"> </w:t>
      </w:r>
      <w:r w:rsidRPr="001347F6">
        <w:rPr>
          <w:sz w:val="24"/>
          <w:szCs w:val="24"/>
        </w:rPr>
        <w:t>Art 24(3); CRS,</w:t>
      </w:r>
      <w:r w:rsidR="000E212C" w:rsidRPr="001347F6">
        <w:rPr>
          <w:sz w:val="24"/>
          <w:szCs w:val="24"/>
        </w:rPr>
        <w:fldChar w:fldCharType="begin"/>
      </w:r>
      <w:r w:rsidR="000E212C" w:rsidRPr="001347F6">
        <w:rPr>
          <w:sz w:val="24"/>
          <w:szCs w:val="24"/>
        </w:rPr>
        <w:instrText xml:space="preserve"> TA \s "CRS," </w:instrText>
      </w:r>
      <w:r w:rsidR="000E212C" w:rsidRPr="001347F6">
        <w:rPr>
          <w:sz w:val="24"/>
          <w:szCs w:val="24"/>
        </w:rPr>
        <w:fldChar w:fldCharType="end"/>
      </w:r>
      <w:r w:rsidR="00B16E0A" w:rsidRPr="001347F6">
        <w:rPr>
          <w:sz w:val="24"/>
          <w:szCs w:val="24"/>
        </w:rPr>
        <w:t xml:space="preserve"> </w:t>
      </w:r>
      <w:r w:rsidRPr="001347F6">
        <w:rPr>
          <w:sz w:val="24"/>
          <w:szCs w:val="24"/>
        </w:rPr>
        <w:t>Art 1, Art 8(1). Art 9; European Convention on Nationality (adopted 6 November 1997, entered into force 1 March 2000) ETS 166 [‘European Convention on Nationality’]</w:t>
      </w:r>
      <w:r w:rsidR="0008059B" w:rsidRPr="001347F6">
        <w:rPr>
          <w:sz w:val="24"/>
          <w:szCs w:val="24"/>
        </w:rPr>
        <w:fldChar w:fldCharType="begin"/>
      </w:r>
      <w:r w:rsidR="0008059B" w:rsidRPr="001347F6">
        <w:rPr>
          <w:sz w:val="24"/>
          <w:szCs w:val="24"/>
        </w:rPr>
        <w:instrText xml:space="preserve"> TA \l "European Convention on Nationality (adopted 6 November 1997, entered into force 1 March 2000) ETS 166 [‘European Convention on Nationality’]" \s "European Convention on Nationality" \c 2 </w:instrText>
      </w:r>
      <w:r w:rsidR="0008059B" w:rsidRPr="001347F6">
        <w:rPr>
          <w:sz w:val="24"/>
          <w:szCs w:val="24"/>
        </w:rPr>
        <w:fldChar w:fldCharType="end"/>
      </w:r>
      <w:r w:rsidRPr="001347F6">
        <w:rPr>
          <w:sz w:val="24"/>
          <w:szCs w:val="24"/>
        </w:rPr>
        <w:t xml:space="preserve"> Art 4(a); American Convention on Human Rights (22 November 1969) 1144 UNTS 123</w:t>
      </w:r>
      <w:r w:rsidR="00F666A4" w:rsidRPr="001347F6">
        <w:rPr>
          <w:sz w:val="24"/>
          <w:szCs w:val="24"/>
        </w:rPr>
        <w:fldChar w:fldCharType="begin"/>
      </w:r>
      <w:r w:rsidR="00F666A4" w:rsidRPr="001347F6">
        <w:rPr>
          <w:sz w:val="24"/>
          <w:szCs w:val="24"/>
        </w:rPr>
        <w:instrText xml:space="preserve"> TA \l "American Convention on Human Rights (22 November 1969) 1144 UNTS 123" \s "American Convention on Human Rights" \c 2 </w:instrText>
      </w:r>
      <w:r w:rsidR="00F666A4" w:rsidRPr="001347F6">
        <w:rPr>
          <w:sz w:val="24"/>
          <w:szCs w:val="24"/>
        </w:rPr>
        <w:fldChar w:fldCharType="end"/>
      </w:r>
      <w:r w:rsidRPr="001347F6">
        <w:rPr>
          <w:sz w:val="24"/>
          <w:szCs w:val="24"/>
        </w:rPr>
        <w:t>, Art 20; African Charter on the Rights and Welfare of the Child (adopted 11 July 1990, entered into force 29 November 1999) CAB/LEG/24.9/49</w:t>
      </w:r>
      <w:r w:rsidR="00F666A4" w:rsidRPr="001347F6">
        <w:rPr>
          <w:sz w:val="24"/>
          <w:szCs w:val="24"/>
        </w:rPr>
        <w:fldChar w:fldCharType="begin"/>
      </w:r>
      <w:r w:rsidR="00F666A4" w:rsidRPr="001347F6">
        <w:rPr>
          <w:sz w:val="24"/>
          <w:szCs w:val="24"/>
        </w:rPr>
        <w:instrText xml:space="preserve"> TA \l "African Charter on the Rights and Welfare of the Child (adopted 11 July 1990, entered into force 29 November 1999) CAB/LEG/24.9/49" \s "African Charter on the Rights and Welfare of the Child" \c 2 </w:instrText>
      </w:r>
      <w:r w:rsidR="00F666A4" w:rsidRPr="001347F6">
        <w:rPr>
          <w:sz w:val="24"/>
          <w:szCs w:val="24"/>
        </w:rPr>
        <w:fldChar w:fldCharType="end"/>
      </w:r>
      <w:r w:rsidRPr="001347F6">
        <w:rPr>
          <w:sz w:val="24"/>
          <w:szCs w:val="24"/>
        </w:rPr>
        <w:t>, Art 6; Arab Charter on Human Rights (adopted 15 September 1994) League of Arab States</w:t>
      </w:r>
      <w:r w:rsidR="00F666A4" w:rsidRPr="001347F6">
        <w:rPr>
          <w:sz w:val="24"/>
          <w:szCs w:val="24"/>
        </w:rPr>
        <w:fldChar w:fldCharType="begin"/>
      </w:r>
      <w:r w:rsidR="00F666A4" w:rsidRPr="001347F6">
        <w:rPr>
          <w:sz w:val="24"/>
          <w:szCs w:val="24"/>
        </w:rPr>
        <w:instrText xml:space="preserve"> TA \l "Arab Charter on Human Rights (adopted 15 September 1994) League of Arab States" \s "Arab Charter on Human Rights" \c 2 </w:instrText>
      </w:r>
      <w:r w:rsidR="00F666A4" w:rsidRPr="001347F6">
        <w:rPr>
          <w:sz w:val="24"/>
          <w:szCs w:val="24"/>
        </w:rPr>
        <w:fldChar w:fldCharType="end"/>
      </w:r>
      <w:r w:rsidRPr="001347F6">
        <w:rPr>
          <w:sz w:val="24"/>
          <w:szCs w:val="24"/>
        </w:rPr>
        <w:t xml:space="preserve">, Art 24. </w:t>
      </w:r>
    </w:p>
    <w:p w14:paraId="34C61243" w14:textId="77777777" w:rsidR="008C2177" w:rsidRPr="001347F6" w:rsidRDefault="00000000" w:rsidP="001347F6">
      <w:pPr>
        <w:widowControl/>
        <w:jc w:val="both"/>
        <w:rPr>
          <w:sz w:val="24"/>
          <w:szCs w:val="24"/>
        </w:rPr>
      </w:pPr>
      <w:r w:rsidRPr="001347F6">
        <w:rPr>
          <w:sz w:val="24"/>
          <w:szCs w:val="24"/>
        </w:rPr>
        <w:t xml:space="preserve">  </w:t>
      </w:r>
    </w:p>
  </w:footnote>
  <w:footnote w:id="38">
    <w:p w14:paraId="2DB76304" w14:textId="39B39C57"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highlight w:val="white"/>
        </w:rPr>
        <w:t xml:space="preserve"> </w:t>
      </w:r>
      <w:r w:rsidRPr="001347F6">
        <w:rPr>
          <w:sz w:val="24"/>
          <w:szCs w:val="24"/>
        </w:rPr>
        <w:t>Regional African Agreement ‘Consolidated Action Plan of ICGLR on the eradication of statelessness in the Great Lakes (2017-2024)’ (January 2020)</w:t>
      </w:r>
      <w:r w:rsidR="00F666A4" w:rsidRPr="001347F6">
        <w:rPr>
          <w:sz w:val="24"/>
          <w:szCs w:val="24"/>
        </w:rPr>
        <w:fldChar w:fldCharType="begin"/>
      </w:r>
      <w:r w:rsidR="00F666A4" w:rsidRPr="001347F6">
        <w:rPr>
          <w:sz w:val="24"/>
          <w:szCs w:val="24"/>
        </w:rPr>
        <w:instrText xml:space="preserve"> TA \l "Regional African Agreement ‘Consolidated Action Plan of ICGLR on the eradication of statelessness in the Great Lakes (2017-2024)’ (January 2020)" \s "Regional African Agreement ‘Consolidated Action Plan of ICGLR on the eradication of statelessness in the Great Lakes (2017-2024)’ (January 2020)" \c 7 </w:instrText>
      </w:r>
      <w:r w:rsidR="00F666A4" w:rsidRPr="001347F6">
        <w:rPr>
          <w:sz w:val="24"/>
          <w:szCs w:val="24"/>
        </w:rPr>
        <w:fldChar w:fldCharType="end"/>
      </w:r>
      <w:r w:rsidRPr="001347F6">
        <w:rPr>
          <w:sz w:val="24"/>
          <w:szCs w:val="24"/>
        </w:rPr>
        <w:t>; UNHCR, ‘Joint Conclusions of the 2nd Regional Conference on the Right to Legal Identity and Prevention of statelessness: Leaving No One Behind at Birth’ (6 September 2019)</w:t>
      </w:r>
      <w:r w:rsidR="00F666A4" w:rsidRPr="001347F6">
        <w:rPr>
          <w:sz w:val="24"/>
          <w:szCs w:val="24"/>
        </w:rPr>
        <w:fldChar w:fldCharType="begin"/>
      </w:r>
      <w:r w:rsidR="00F666A4" w:rsidRPr="001347F6">
        <w:rPr>
          <w:sz w:val="24"/>
          <w:szCs w:val="24"/>
        </w:rPr>
        <w:instrText xml:space="preserve"> TA \l "UNHCR, ‘Joint Conclusions of the 2nd Regional Conference on the Right to Legal Identity and Prevention of statelessness: Leaving No One Behind at Birth’ (6 September 2019)" \s "UNHCR, ‘Joint Conclusions of the 2nd Regional Conference on the Right to Legal Identity and Prevention of statelessness: Leaving No One Behind at Birth’ (6 September 2019)" \c 3 </w:instrText>
      </w:r>
      <w:r w:rsidR="00F666A4" w:rsidRPr="001347F6">
        <w:rPr>
          <w:sz w:val="24"/>
          <w:szCs w:val="24"/>
        </w:rPr>
        <w:fldChar w:fldCharType="end"/>
      </w:r>
      <w:r w:rsidRPr="001347F6">
        <w:rPr>
          <w:sz w:val="24"/>
          <w:szCs w:val="24"/>
        </w:rPr>
        <w:t>; League of Arab States, ‘Arab Declaration on Belonging and Legal Identity’ (28 February 2018)</w:t>
      </w:r>
      <w:r w:rsidR="00F666A4" w:rsidRPr="001347F6">
        <w:rPr>
          <w:sz w:val="24"/>
          <w:szCs w:val="24"/>
        </w:rPr>
        <w:fldChar w:fldCharType="begin"/>
      </w:r>
      <w:r w:rsidR="00F666A4" w:rsidRPr="001347F6">
        <w:rPr>
          <w:sz w:val="24"/>
          <w:szCs w:val="24"/>
        </w:rPr>
        <w:instrText xml:space="preserve"> TA \l "League of Arab States, ‘Arab Declaration on Belonging and Legal Identity’ (28 February 2018)" \s "League of Arab States, ‘Arab Declaration on Belonging and Legal Identity’ (28 February 2018)" \c 7 </w:instrText>
      </w:r>
      <w:r w:rsidR="00F666A4" w:rsidRPr="001347F6">
        <w:rPr>
          <w:sz w:val="24"/>
          <w:szCs w:val="24"/>
        </w:rPr>
        <w:fldChar w:fldCharType="end"/>
      </w:r>
      <w:r w:rsidRPr="001347F6">
        <w:rPr>
          <w:sz w:val="24"/>
          <w:szCs w:val="24"/>
        </w:rPr>
        <w:t>.</w:t>
      </w:r>
    </w:p>
    <w:p w14:paraId="6F5E5FA6" w14:textId="77777777" w:rsidR="008C2177" w:rsidRPr="001347F6" w:rsidRDefault="008C2177" w:rsidP="001347F6">
      <w:pPr>
        <w:widowControl/>
        <w:jc w:val="both"/>
        <w:rPr>
          <w:sz w:val="24"/>
          <w:szCs w:val="24"/>
        </w:rPr>
      </w:pPr>
    </w:p>
  </w:footnote>
  <w:footnote w:id="39">
    <w:p w14:paraId="12886349" w14:textId="4CA25D41" w:rsidR="008C2177" w:rsidRPr="001347F6" w:rsidRDefault="00000000" w:rsidP="001347F6">
      <w:pPr>
        <w:widowControl/>
        <w:jc w:val="both"/>
        <w:rPr>
          <w:sz w:val="24"/>
          <w:szCs w:val="24"/>
          <w:highlight w:val="white"/>
        </w:rPr>
      </w:pPr>
      <w:r w:rsidRPr="001347F6">
        <w:rPr>
          <w:sz w:val="24"/>
          <w:szCs w:val="24"/>
          <w:vertAlign w:val="superscript"/>
        </w:rPr>
        <w:footnoteRef/>
      </w:r>
      <w:r w:rsidRPr="001347F6">
        <w:rPr>
          <w:sz w:val="24"/>
          <w:szCs w:val="24"/>
        </w:rPr>
        <w:t xml:space="preserve"> </w:t>
      </w:r>
      <w:r w:rsidRPr="001347F6">
        <w:rPr>
          <w:sz w:val="24"/>
          <w:szCs w:val="24"/>
          <w:highlight w:val="white"/>
        </w:rPr>
        <w:t>OAS, ‘Prevention and Reduction of statelessness and Protection of stateless Persons in the Americas’ (4 June 2014) AG/RES. 2826 (XLIV-O/14</w:t>
      </w:r>
      <w:r w:rsidR="00AE7683" w:rsidRPr="001347F6">
        <w:rPr>
          <w:sz w:val="24"/>
          <w:szCs w:val="24"/>
          <w:highlight w:val="white"/>
        </w:rPr>
        <w:t>)</w:t>
      </w:r>
      <w:r w:rsidR="00AE7683" w:rsidRPr="001347F6">
        <w:rPr>
          <w:sz w:val="24"/>
          <w:szCs w:val="24"/>
          <w:highlight w:val="white"/>
        </w:rPr>
        <w:fldChar w:fldCharType="begin"/>
      </w:r>
      <w:r w:rsidR="00AE7683" w:rsidRPr="001347F6">
        <w:rPr>
          <w:sz w:val="24"/>
          <w:szCs w:val="24"/>
        </w:rPr>
        <w:instrText xml:space="preserve"> TA \l "</w:instrText>
      </w:r>
      <w:r w:rsidR="00AE7683" w:rsidRPr="001347F6">
        <w:rPr>
          <w:sz w:val="24"/>
          <w:szCs w:val="24"/>
          <w:highlight w:val="white"/>
        </w:rPr>
        <w:instrText>OAS, ‘Prevention and Reduction of statelessness and Protection of stateless Persons in the Americas’ (4 June 2014) AG/RES. 2826 (XLIV-O/14)</w:instrText>
      </w:r>
      <w:r w:rsidR="00AE7683" w:rsidRPr="001347F6">
        <w:rPr>
          <w:sz w:val="24"/>
          <w:szCs w:val="24"/>
        </w:rPr>
        <w:instrText xml:space="preserve">" \s "OAS, ‘Prevention and Reduction of statelessness and Protection of stateless Persons in the Americas’ (4 June 2014) AG/RES. 2826 (XLIV-O/14)" \c 7 </w:instrText>
      </w:r>
      <w:r w:rsidR="00AE7683" w:rsidRPr="001347F6">
        <w:rPr>
          <w:sz w:val="24"/>
          <w:szCs w:val="24"/>
          <w:highlight w:val="white"/>
        </w:rPr>
        <w:fldChar w:fldCharType="end"/>
      </w:r>
      <w:r w:rsidRPr="001347F6">
        <w:rPr>
          <w:sz w:val="24"/>
          <w:szCs w:val="24"/>
          <w:highlight w:val="white"/>
        </w:rPr>
        <w:t>; Council of Europe, ‘Access to nationality and the effective implementation of the European Convention on Nationality’ (9 April 2014) Res 1989</w:t>
      </w:r>
      <w:r w:rsidR="00F666A4" w:rsidRPr="001347F6">
        <w:rPr>
          <w:sz w:val="24"/>
          <w:szCs w:val="24"/>
          <w:highlight w:val="white"/>
        </w:rPr>
        <w:fldChar w:fldCharType="begin"/>
      </w:r>
      <w:r w:rsidR="00F666A4" w:rsidRPr="001347F6">
        <w:rPr>
          <w:sz w:val="24"/>
          <w:szCs w:val="24"/>
        </w:rPr>
        <w:instrText xml:space="preserve"> TA \l "</w:instrText>
      </w:r>
      <w:r w:rsidR="00F666A4" w:rsidRPr="001347F6">
        <w:rPr>
          <w:sz w:val="24"/>
          <w:szCs w:val="24"/>
          <w:highlight w:val="white"/>
        </w:rPr>
        <w:instrText>Council of Europe, ‘Access to nationality and the effective implementation of the European Convention on Nationality’ (9 April 2014) Res 1989</w:instrText>
      </w:r>
      <w:r w:rsidR="00F666A4" w:rsidRPr="001347F6">
        <w:rPr>
          <w:sz w:val="24"/>
          <w:szCs w:val="24"/>
        </w:rPr>
        <w:instrText xml:space="preserve">" \s "Council of Europe" \c 7 </w:instrText>
      </w:r>
      <w:r w:rsidR="00F666A4" w:rsidRPr="001347F6">
        <w:rPr>
          <w:sz w:val="24"/>
          <w:szCs w:val="24"/>
          <w:highlight w:val="white"/>
        </w:rPr>
        <w:fldChar w:fldCharType="end"/>
      </w:r>
      <w:r w:rsidRPr="001347F6">
        <w:rPr>
          <w:sz w:val="24"/>
          <w:szCs w:val="24"/>
          <w:highlight w:val="white"/>
        </w:rPr>
        <w:t>.</w:t>
      </w:r>
    </w:p>
    <w:p w14:paraId="1555A44A" w14:textId="77777777" w:rsidR="008C2177" w:rsidRPr="001347F6" w:rsidRDefault="008C2177" w:rsidP="001347F6">
      <w:pPr>
        <w:widowControl/>
        <w:jc w:val="both"/>
        <w:rPr>
          <w:sz w:val="24"/>
          <w:szCs w:val="24"/>
          <w:highlight w:val="white"/>
        </w:rPr>
      </w:pPr>
    </w:p>
  </w:footnote>
  <w:footnote w:id="40">
    <w:p w14:paraId="118C6A46" w14:textId="07F70C33" w:rsidR="008C2177" w:rsidRPr="001347F6" w:rsidRDefault="00000000" w:rsidP="001347F6">
      <w:pPr>
        <w:widowControl/>
        <w:jc w:val="both"/>
        <w:rPr>
          <w:sz w:val="24"/>
          <w:szCs w:val="24"/>
          <w:highlight w:val="white"/>
        </w:rPr>
      </w:pPr>
      <w:r w:rsidRPr="001347F6">
        <w:rPr>
          <w:sz w:val="24"/>
          <w:szCs w:val="24"/>
          <w:vertAlign w:val="superscript"/>
        </w:rPr>
        <w:footnoteRef/>
      </w:r>
      <w:r w:rsidRPr="001347F6">
        <w:rPr>
          <w:sz w:val="24"/>
          <w:szCs w:val="24"/>
          <w:highlight w:val="white"/>
        </w:rPr>
        <w:t xml:space="preserve"> ARSIWA,</w:t>
      </w:r>
      <w:r w:rsidR="000E212C" w:rsidRPr="001347F6">
        <w:rPr>
          <w:sz w:val="24"/>
          <w:szCs w:val="24"/>
          <w:highlight w:val="white"/>
        </w:rPr>
        <w:fldChar w:fldCharType="begin"/>
      </w:r>
      <w:r w:rsidR="000E212C" w:rsidRPr="001347F6">
        <w:rPr>
          <w:sz w:val="24"/>
          <w:szCs w:val="24"/>
          <w:highlight w:val="white"/>
        </w:rPr>
        <w:instrText xml:space="preserve"> TA \s "ARSIWA," </w:instrText>
      </w:r>
      <w:r w:rsidR="000E212C" w:rsidRPr="001347F6">
        <w:rPr>
          <w:sz w:val="24"/>
          <w:szCs w:val="24"/>
          <w:highlight w:val="white"/>
        </w:rPr>
        <w:fldChar w:fldCharType="end"/>
      </w:r>
      <w:r w:rsidRPr="001347F6">
        <w:rPr>
          <w:sz w:val="24"/>
          <w:szCs w:val="24"/>
          <w:highlight w:val="white"/>
        </w:rPr>
        <w:t xml:space="preserve"> Art 44.</w:t>
      </w:r>
    </w:p>
    <w:p w14:paraId="52D5CC88" w14:textId="77777777" w:rsidR="008C2177" w:rsidRPr="001347F6" w:rsidRDefault="008C2177" w:rsidP="001347F6">
      <w:pPr>
        <w:widowControl/>
        <w:jc w:val="both"/>
        <w:rPr>
          <w:sz w:val="24"/>
          <w:szCs w:val="24"/>
          <w:highlight w:val="white"/>
        </w:rPr>
      </w:pPr>
    </w:p>
  </w:footnote>
  <w:footnote w:id="41">
    <w:p w14:paraId="6F1453B9" w14:textId="3DB86F0E"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highlight w:val="white"/>
        </w:rPr>
        <w:t xml:space="preserve"> </w:t>
      </w:r>
      <w:r w:rsidRPr="001347F6">
        <w:rPr>
          <w:sz w:val="24"/>
          <w:szCs w:val="24"/>
        </w:rPr>
        <w:t>ILC, ‘Draft Articles on Diplomatic Protection with Commentaries adopted by the ILC at its Fifty-eighth Session, annexed to ILC Report A/61/10’ (1 May–9 June and 3 July–11 August 2006) UN Doc A/RES/56/83, [‘</w:t>
      </w:r>
      <w:r w:rsidRPr="001347F6">
        <w:rPr>
          <w:i/>
          <w:sz w:val="24"/>
          <w:szCs w:val="24"/>
        </w:rPr>
        <w:t>DADP with Commentaries</w:t>
      </w:r>
      <w:r w:rsidRPr="001347F6">
        <w:rPr>
          <w:sz w:val="24"/>
          <w:szCs w:val="24"/>
        </w:rPr>
        <w:t>’]</w:t>
      </w:r>
      <w:r w:rsidR="008A3D5E" w:rsidRPr="001347F6">
        <w:rPr>
          <w:sz w:val="24"/>
          <w:szCs w:val="24"/>
        </w:rPr>
        <w:fldChar w:fldCharType="begin"/>
      </w:r>
      <w:r w:rsidR="008A3D5E" w:rsidRPr="001347F6">
        <w:rPr>
          <w:sz w:val="24"/>
          <w:szCs w:val="24"/>
        </w:rPr>
        <w:instrText xml:space="preserve"> TA \l "ILC, ‘Draft Articles on Diplomatic Protection with Commentaries adopted by the ILC at its Fifty-eighth Session, annexed to ILC Report A/61/10’ (1 May–9 June and 3 July–11 August 2006) UN Doc A/RES/56/83, [‘</w:instrText>
      </w:r>
      <w:r w:rsidR="008A3D5E" w:rsidRPr="001347F6">
        <w:rPr>
          <w:i/>
          <w:sz w:val="24"/>
          <w:szCs w:val="24"/>
        </w:rPr>
        <w:instrText>DADP with Commentaries</w:instrText>
      </w:r>
      <w:r w:rsidR="008A3D5E" w:rsidRPr="001347F6">
        <w:rPr>
          <w:sz w:val="24"/>
          <w:szCs w:val="24"/>
        </w:rPr>
        <w:instrText xml:space="preserve">’]" \s "DADP with Commentaries" \c 7 </w:instrText>
      </w:r>
      <w:r w:rsidR="008A3D5E" w:rsidRPr="001347F6">
        <w:rPr>
          <w:sz w:val="24"/>
          <w:szCs w:val="24"/>
        </w:rPr>
        <w:fldChar w:fldCharType="end"/>
      </w:r>
      <w:r w:rsidRPr="001347F6">
        <w:rPr>
          <w:sz w:val="24"/>
          <w:szCs w:val="24"/>
          <w:highlight w:val="white"/>
        </w:rPr>
        <w:t xml:space="preserve"> Art 16 [2]; </w:t>
      </w:r>
      <w:r w:rsidRPr="001347F6">
        <w:rPr>
          <w:sz w:val="24"/>
          <w:szCs w:val="24"/>
        </w:rPr>
        <w:t xml:space="preserve">Ruys, T. </w:t>
      </w:r>
      <w:r w:rsidRPr="001347F6">
        <w:rPr>
          <w:i/>
          <w:sz w:val="24"/>
          <w:szCs w:val="24"/>
        </w:rPr>
        <w:t xml:space="preserve">Legal Standing and Public Interest Litigation - Are All Erga Omnes Breaches Equal? </w:t>
      </w:r>
      <w:r w:rsidRPr="001347F6">
        <w:rPr>
          <w:sz w:val="24"/>
          <w:szCs w:val="24"/>
        </w:rPr>
        <w:t>(CJIL 2021)</w:t>
      </w:r>
      <w:r w:rsidR="008A3D5E" w:rsidRPr="001347F6">
        <w:rPr>
          <w:sz w:val="24"/>
          <w:szCs w:val="24"/>
        </w:rPr>
        <w:fldChar w:fldCharType="begin"/>
      </w:r>
      <w:r w:rsidR="008A3D5E" w:rsidRPr="001347F6">
        <w:rPr>
          <w:sz w:val="24"/>
          <w:szCs w:val="24"/>
        </w:rPr>
        <w:instrText xml:space="preserve"> TA \l "Ruys, T. </w:instrText>
      </w:r>
      <w:r w:rsidR="008A3D5E" w:rsidRPr="001347F6">
        <w:rPr>
          <w:i/>
          <w:sz w:val="24"/>
          <w:szCs w:val="24"/>
        </w:rPr>
        <w:instrText xml:space="preserve">Legal Standing and Public Interest Litigation - Are All Erga Omnes Breaches Equal? </w:instrText>
      </w:r>
      <w:r w:rsidR="008A3D5E" w:rsidRPr="001347F6">
        <w:rPr>
          <w:sz w:val="24"/>
          <w:szCs w:val="24"/>
        </w:rPr>
        <w:instrText xml:space="preserve">(CJIL 2021)" \s "Ruys, T" \c 6 </w:instrText>
      </w:r>
      <w:r w:rsidR="008A3D5E" w:rsidRPr="001347F6">
        <w:rPr>
          <w:sz w:val="24"/>
          <w:szCs w:val="24"/>
        </w:rPr>
        <w:fldChar w:fldCharType="end"/>
      </w:r>
      <w:r w:rsidRPr="001347F6">
        <w:rPr>
          <w:sz w:val="24"/>
          <w:szCs w:val="24"/>
        </w:rPr>
        <w:t xml:space="preserve"> pp. 14.</w:t>
      </w:r>
    </w:p>
    <w:p w14:paraId="79DCC3A2" w14:textId="77777777" w:rsidR="008C2177" w:rsidRPr="001347F6" w:rsidRDefault="008C2177" w:rsidP="001347F6">
      <w:pPr>
        <w:widowControl/>
        <w:jc w:val="both"/>
        <w:rPr>
          <w:sz w:val="24"/>
          <w:szCs w:val="24"/>
          <w:highlight w:val="white"/>
        </w:rPr>
      </w:pPr>
    </w:p>
  </w:footnote>
  <w:footnote w:id="42">
    <w:p w14:paraId="27A94E3F" w14:textId="69BA7B14" w:rsidR="008C2177" w:rsidRDefault="00000000" w:rsidP="001347F6">
      <w:pPr>
        <w:widowControl/>
        <w:jc w:val="both"/>
        <w:rPr>
          <w:sz w:val="24"/>
          <w:szCs w:val="24"/>
        </w:rPr>
      </w:pPr>
      <w:r w:rsidRPr="001347F6">
        <w:rPr>
          <w:sz w:val="24"/>
          <w:szCs w:val="24"/>
          <w:vertAlign w:val="superscript"/>
        </w:rPr>
        <w:footnoteRef/>
      </w:r>
      <w:r w:rsidRPr="001347F6">
        <w:rPr>
          <w:sz w:val="24"/>
          <w:szCs w:val="24"/>
          <w:highlight w:val="white"/>
        </w:rPr>
        <w:t xml:space="preserve"> </w:t>
      </w:r>
      <w:r w:rsidRPr="001347F6">
        <w:rPr>
          <w:i/>
          <w:sz w:val="24"/>
          <w:szCs w:val="24"/>
          <w:highlight w:val="white"/>
        </w:rPr>
        <w:t>The Gambia v. Myanmar</w:t>
      </w:r>
      <w:r w:rsidR="00883AB5" w:rsidRPr="001347F6">
        <w:rPr>
          <w:i/>
          <w:sz w:val="24"/>
          <w:szCs w:val="24"/>
          <w:highlight w:val="white"/>
        </w:rPr>
        <w:fldChar w:fldCharType="begin"/>
      </w:r>
      <w:r w:rsidR="00883AB5" w:rsidRPr="001347F6">
        <w:rPr>
          <w:i/>
          <w:sz w:val="24"/>
          <w:szCs w:val="24"/>
          <w:highlight w:val="white"/>
        </w:rPr>
        <w:instrText xml:space="preserve"> TA \s "The Gambia v. Myanmar" </w:instrText>
      </w:r>
      <w:r w:rsidR="00883AB5" w:rsidRPr="001347F6">
        <w:rPr>
          <w:i/>
          <w:sz w:val="24"/>
          <w:szCs w:val="24"/>
          <w:highlight w:val="white"/>
        </w:rPr>
        <w:fldChar w:fldCharType="end"/>
      </w:r>
      <w:r w:rsidRPr="001347F6">
        <w:rPr>
          <w:sz w:val="24"/>
          <w:szCs w:val="24"/>
          <w:highlight w:val="white"/>
        </w:rPr>
        <w:t>, [109].</w:t>
      </w:r>
    </w:p>
    <w:p w14:paraId="3A951258" w14:textId="77777777" w:rsidR="001347F6" w:rsidRPr="001347F6" w:rsidRDefault="001347F6" w:rsidP="001347F6">
      <w:pPr>
        <w:widowControl/>
        <w:jc w:val="both"/>
        <w:rPr>
          <w:sz w:val="24"/>
          <w:szCs w:val="24"/>
        </w:rPr>
      </w:pPr>
    </w:p>
  </w:footnote>
  <w:footnote w:id="43">
    <w:p w14:paraId="252BA18D" w14:textId="3BFC8752"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highlight w:val="white"/>
        </w:rPr>
        <w:t xml:space="preserve"> </w:t>
      </w:r>
      <w:r w:rsidRPr="001347F6">
        <w:rPr>
          <w:i/>
          <w:sz w:val="24"/>
          <w:szCs w:val="24"/>
          <w:highlight w:val="white"/>
        </w:rPr>
        <w:t>The Gambia v. Myanmar</w:t>
      </w:r>
      <w:r w:rsidR="00883AB5" w:rsidRPr="001347F6">
        <w:rPr>
          <w:i/>
          <w:sz w:val="24"/>
          <w:szCs w:val="24"/>
          <w:highlight w:val="white"/>
        </w:rPr>
        <w:fldChar w:fldCharType="begin"/>
      </w:r>
      <w:r w:rsidR="00883AB5" w:rsidRPr="001347F6">
        <w:rPr>
          <w:i/>
          <w:sz w:val="24"/>
          <w:szCs w:val="24"/>
          <w:highlight w:val="white"/>
        </w:rPr>
        <w:instrText xml:space="preserve"> TA \s "The Gambia v. Myanmar" </w:instrText>
      </w:r>
      <w:r w:rsidR="00883AB5" w:rsidRPr="001347F6">
        <w:rPr>
          <w:i/>
          <w:sz w:val="24"/>
          <w:szCs w:val="24"/>
          <w:highlight w:val="white"/>
        </w:rPr>
        <w:fldChar w:fldCharType="end"/>
      </w:r>
      <w:r w:rsidRPr="001347F6">
        <w:rPr>
          <w:sz w:val="24"/>
          <w:szCs w:val="24"/>
          <w:highlight w:val="white"/>
        </w:rPr>
        <w:t>, [10</w:t>
      </w:r>
      <w:r w:rsidR="00916901" w:rsidRPr="001347F6">
        <w:rPr>
          <w:sz w:val="24"/>
          <w:szCs w:val="24"/>
          <w:highlight w:val="white"/>
        </w:rPr>
        <w:t>8</w:t>
      </w:r>
      <w:r w:rsidRPr="001347F6">
        <w:rPr>
          <w:sz w:val="24"/>
          <w:szCs w:val="24"/>
          <w:highlight w:val="white"/>
        </w:rPr>
        <w:t>].</w:t>
      </w:r>
    </w:p>
    <w:p w14:paraId="15E16FD3" w14:textId="77777777" w:rsidR="008C2177" w:rsidRPr="001347F6" w:rsidRDefault="008C2177" w:rsidP="001347F6">
      <w:pPr>
        <w:widowControl/>
        <w:jc w:val="both"/>
        <w:rPr>
          <w:sz w:val="24"/>
          <w:szCs w:val="24"/>
        </w:rPr>
      </w:pPr>
    </w:p>
  </w:footnote>
  <w:footnote w:id="44">
    <w:p w14:paraId="048B9DB7" w14:textId="77777777" w:rsidR="008C2177" w:rsidRPr="001347F6" w:rsidRDefault="00000000" w:rsidP="001347F6">
      <w:pPr>
        <w:widowControl/>
        <w:jc w:val="both"/>
        <w:rPr>
          <w:sz w:val="24"/>
          <w:szCs w:val="24"/>
          <w:highlight w:val="white"/>
        </w:rPr>
      </w:pPr>
      <w:r w:rsidRPr="001347F6">
        <w:rPr>
          <w:sz w:val="24"/>
          <w:szCs w:val="24"/>
          <w:vertAlign w:val="superscript"/>
        </w:rPr>
        <w:footnoteRef/>
      </w:r>
      <w:r w:rsidRPr="001347F6">
        <w:rPr>
          <w:sz w:val="24"/>
          <w:szCs w:val="24"/>
          <w:highlight w:val="white"/>
        </w:rPr>
        <w:t xml:space="preserve"> Compromis, [30].</w:t>
      </w:r>
    </w:p>
    <w:p w14:paraId="7B2E2176" w14:textId="77777777" w:rsidR="008C2177" w:rsidRPr="001347F6" w:rsidRDefault="008C2177" w:rsidP="001347F6">
      <w:pPr>
        <w:widowControl/>
        <w:jc w:val="both"/>
        <w:rPr>
          <w:sz w:val="24"/>
          <w:szCs w:val="24"/>
          <w:highlight w:val="white"/>
        </w:rPr>
      </w:pPr>
    </w:p>
  </w:footnote>
  <w:footnote w:id="45">
    <w:p w14:paraId="33C69D9C" w14:textId="77777777" w:rsidR="008C2177" w:rsidRPr="001347F6" w:rsidRDefault="00000000" w:rsidP="001347F6">
      <w:pPr>
        <w:widowControl/>
        <w:jc w:val="both"/>
        <w:rPr>
          <w:sz w:val="24"/>
          <w:szCs w:val="24"/>
          <w:highlight w:val="white"/>
        </w:rPr>
      </w:pPr>
      <w:r w:rsidRPr="001347F6">
        <w:rPr>
          <w:sz w:val="24"/>
          <w:szCs w:val="24"/>
          <w:vertAlign w:val="superscript"/>
        </w:rPr>
        <w:footnoteRef/>
      </w:r>
      <w:r w:rsidRPr="001347F6">
        <w:rPr>
          <w:sz w:val="24"/>
          <w:szCs w:val="24"/>
        </w:rPr>
        <w:t xml:space="preserve"> </w:t>
      </w:r>
      <w:r w:rsidRPr="001347F6">
        <w:rPr>
          <w:sz w:val="24"/>
          <w:szCs w:val="24"/>
          <w:highlight w:val="white"/>
        </w:rPr>
        <w:t xml:space="preserve"> Compromis, [34].</w:t>
      </w:r>
    </w:p>
    <w:p w14:paraId="65993952" w14:textId="77777777" w:rsidR="008C2177" w:rsidRPr="001347F6" w:rsidRDefault="008C2177" w:rsidP="001347F6">
      <w:pPr>
        <w:widowControl/>
        <w:jc w:val="both"/>
        <w:rPr>
          <w:sz w:val="24"/>
          <w:szCs w:val="24"/>
        </w:rPr>
      </w:pPr>
    </w:p>
  </w:footnote>
  <w:footnote w:id="46">
    <w:p w14:paraId="4238DBDA" w14:textId="77777777" w:rsidR="008C2177" w:rsidRPr="001347F6" w:rsidRDefault="00000000" w:rsidP="001347F6">
      <w:pPr>
        <w:widowControl/>
        <w:jc w:val="both"/>
        <w:rPr>
          <w:sz w:val="24"/>
          <w:szCs w:val="24"/>
          <w:highlight w:val="white"/>
        </w:rPr>
      </w:pPr>
      <w:r w:rsidRPr="001347F6">
        <w:rPr>
          <w:sz w:val="24"/>
          <w:szCs w:val="24"/>
          <w:vertAlign w:val="superscript"/>
        </w:rPr>
        <w:footnoteRef/>
      </w:r>
      <w:r w:rsidRPr="001347F6">
        <w:rPr>
          <w:sz w:val="24"/>
          <w:szCs w:val="24"/>
        </w:rPr>
        <w:t xml:space="preserve"> </w:t>
      </w:r>
      <w:r w:rsidRPr="001347F6">
        <w:rPr>
          <w:sz w:val="24"/>
          <w:szCs w:val="24"/>
          <w:highlight w:val="white"/>
        </w:rPr>
        <w:t xml:space="preserve"> Compromis, [34].</w:t>
      </w:r>
    </w:p>
    <w:p w14:paraId="1A57049A" w14:textId="77777777" w:rsidR="008C2177" w:rsidRPr="001347F6" w:rsidRDefault="008C2177" w:rsidP="001347F6">
      <w:pPr>
        <w:widowControl/>
        <w:jc w:val="both"/>
        <w:rPr>
          <w:sz w:val="24"/>
          <w:szCs w:val="24"/>
        </w:rPr>
      </w:pPr>
    </w:p>
  </w:footnote>
  <w:footnote w:id="47">
    <w:p w14:paraId="17584996" w14:textId="7E4D5A39"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CRS,</w:t>
      </w:r>
      <w:r w:rsidR="000E212C" w:rsidRPr="001347F6">
        <w:rPr>
          <w:sz w:val="24"/>
          <w:szCs w:val="24"/>
        </w:rPr>
        <w:fldChar w:fldCharType="begin"/>
      </w:r>
      <w:r w:rsidR="000E212C" w:rsidRPr="001347F6">
        <w:rPr>
          <w:sz w:val="24"/>
          <w:szCs w:val="24"/>
        </w:rPr>
        <w:instrText xml:space="preserve"> TA \s "CRS," </w:instrText>
      </w:r>
      <w:r w:rsidR="000E212C" w:rsidRPr="001347F6">
        <w:rPr>
          <w:sz w:val="24"/>
          <w:szCs w:val="24"/>
        </w:rPr>
        <w:fldChar w:fldCharType="end"/>
      </w:r>
      <w:r w:rsidR="00B16E0A" w:rsidRPr="001347F6">
        <w:rPr>
          <w:sz w:val="24"/>
          <w:szCs w:val="24"/>
        </w:rPr>
        <w:t xml:space="preserve"> </w:t>
      </w:r>
      <w:r w:rsidRPr="001347F6">
        <w:rPr>
          <w:sz w:val="24"/>
          <w:szCs w:val="24"/>
        </w:rPr>
        <w:t>Art 8(1).</w:t>
      </w:r>
    </w:p>
    <w:p w14:paraId="310BB777" w14:textId="77777777" w:rsidR="008C2177" w:rsidRPr="001347F6" w:rsidRDefault="008C2177" w:rsidP="001347F6">
      <w:pPr>
        <w:widowControl/>
        <w:jc w:val="both"/>
        <w:rPr>
          <w:sz w:val="24"/>
          <w:szCs w:val="24"/>
        </w:rPr>
      </w:pPr>
    </w:p>
  </w:footnote>
  <w:footnote w:id="48">
    <w:p w14:paraId="298A1E02" w14:textId="19D90762"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CRS</w:t>
      </w:r>
      <w:r w:rsidRPr="001347F6">
        <w:rPr>
          <w:i/>
          <w:sz w:val="24"/>
          <w:szCs w:val="24"/>
        </w:rPr>
        <w:t>,</w:t>
      </w:r>
      <w:r w:rsidR="000E212C" w:rsidRPr="001347F6">
        <w:rPr>
          <w:i/>
          <w:sz w:val="24"/>
          <w:szCs w:val="24"/>
        </w:rPr>
        <w:fldChar w:fldCharType="begin"/>
      </w:r>
      <w:r w:rsidR="000E212C" w:rsidRPr="001347F6">
        <w:rPr>
          <w:i/>
          <w:sz w:val="24"/>
          <w:szCs w:val="24"/>
        </w:rPr>
        <w:instrText xml:space="preserve"> TA \s "CRS," </w:instrText>
      </w:r>
      <w:r w:rsidR="000E212C" w:rsidRPr="001347F6">
        <w:rPr>
          <w:i/>
          <w:sz w:val="24"/>
          <w:szCs w:val="24"/>
        </w:rPr>
        <w:fldChar w:fldCharType="end"/>
      </w:r>
      <w:r w:rsidR="00B16E0A" w:rsidRPr="001347F6">
        <w:rPr>
          <w:i/>
          <w:sz w:val="24"/>
          <w:szCs w:val="24"/>
        </w:rPr>
        <w:t xml:space="preserve"> </w:t>
      </w:r>
      <w:r w:rsidRPr="001347F6">
        <w:rPr>
          <w:sz w:val="24"/>
          <w:szCs w:val="24"/>
        </w:rPr>
        <w:t>Art 8(4).</w:t>
      </w:r>
    </w:p>
    <w:p w14:paraId="32ADFB09" w14:textId="77777777" w:rsidR="008C2177" w:rsidRPr="001347F6" w:rsidRDefault="008C2177" w:rsidP="001347F6">
      <w:pPr>
        <w:widowControl/>
        <w:jc w:val="both"/>
        <w:rPr>
          <w:sz w:val="24"/>
          <w:szCs w:val="24"/>
        </w:rPr>
      </w:pPr>
    </w:p>
  </w:footnote>
  <w:footnote w:id="49">
    <w:p w14:paraId="5784469C" w14:textId="39C26CBE"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CRS</w:t>
      </w:r>
      <w:r w:rsidR="00B16E0A" w:rsidRPr="001347F6">
        <w:rPr>
          <w:i/>
          <w:sz w:val="24"/>
          <w:szCs w:val="24"/>
        </w:rPr>
        <w:t>,</w:t>
      </w:r>
      <w:r w:rsidR="000E212C" w:rsidRPr="001347F6">
        <w:rPr>
          <w:i/>
          <w:sz w:val="24"/>
          <w:szCs w:val="24"/>
        </w:rPr>
        <w:fldChar w:fldCharType="begin"/>
      </w:r>
      <w:r w:rsidR="000E212C" w:rsidRPr="001347F6">
        <w:rPr>
          <w:i/>
          <w:sz w:val="24"/>
          <w:szCs w:val="24"/>
        </w:rPr>
        <w:instrText xml:space="preserve"> TA \s "CRS," </w:instrText>
      </w:r>
      <w:r w:rsidR="000E212C" w:rsidRPr="001347F6">
        <w:rPr>
          <w:i/>
          <w:sz w:val="24"/>
          <w:szCs w:val="24"/>
        </w:rPr>
        <w:fldChar w:fldCharType="end"/>
      </w:r>
      <w:r w:rsidRPr="001347F6">
        <w:rPr>
          <w:i/>
          <w:sz w:val="24"/>
          <w:szCs w:val="24"/>
        </w:rPr>
        <w:t xml:space="preserve"> </w:t>
      </w:r>
      <w:r w:rsidRPr="001347F6">
        <w:rPr>
          <w:sz w:val="24"/>
          <w:szCs w:val="24"/>
        </w:rPr>
        <w:t xml:space="preserve">Art 8(3). </w:t>
      </w:r>
    </w:p>
    <w:p w14:paraId="0895AD4F" w14:textId="77777777" w:rsidR="008C2177" w:rsidRPr="001347F6" w:rsidRDefault="008C2177" w:rsidP="001347F6">
      <w:pPr>
        <w:widowControl/>
        <w:jc w:val="both"/>
        <w:rPr>
          <w:sz w:val="24"/>
          <w:szCs w:val="24"/>
        </w:rPr>
      </w:pPr>
    </w:p>
  </w:footnote>
  <w:footnote w:id="50">
    <w:p w14:paraId="712672FB" w14:textId="7BC179DA" w:rsidR="008C2177" w:rsidRPr="001347F6" w:rsidRDefault="00000000" w:rsidP="001347F6">
      <w:pPr>
        <w:widowControl/>
        <w:shd w:val="clear" w:color="auto" w:fill="FFFFFF"/>
        <w:spacing w:before="120" w:after="120"/>
        <w:jc w:val="both"/>
        <w:rPr>
          <w:sz w:val="24"/>
          <w:szCs w:val="24"/>
        </w:rPr>
      </w:pPr>
      <w:r w:rsidRPr="001347F6">
        <w:rPr>
          <w:sz w:val="24"/>
          <w:szCs w:val="24"/>
          <w:vertAlign w:val="superscript"/>
        </w:rPr>
        <w:footnoteRef/>
      </w:r>
      <w:r w:rsidRPr="001347F6">
        <w:rPr>
          <w:sz w:val="24"/>
          <w:szCs w:val="24"/>
        </w:rPr>
        <w:t xml:space="preserve"> UNHCR ‘Guidelines on statelessness No. 5: Loss and Deprivation of Nationality under Articles 5-9 of the 1961 Convention on the Reduction of statelessness’ (Geneva May 2020) </w:t>
      </w:r>
      <w:r w:rsidRPr="001347F6">
        <w:rPr>
          <w:sz w:val="24"/>
          <w:szCs w:val="24"/>
          <w:highlight w:val="white"/>
        </w:rPr>
        <w:t>[‘UNHCR Guidelines No. 5’]</w:t>
      </w:r>
      <w:r w:rsidR="008A3D5E" w:rsidRPr="001347F6">
        <w:rPr>
          <w:sz w:val="24"/>
          <w:szCs w:val="24"/>
          <w:highlight w:val="white"/>
        </w:rPr>
        <w:fldChar w:fldCharType="begin"/>
      </w:r>
      <w:r w:rsidR="008A3D5E" w:rsidRPr="001347F6">
        <w:rPr>
          <w:sz w:val="24"/>
          <w:szCs w:val="24"/>
        </w:rPr>
        <w:instrText xml:space="preserve"> TA \l "UNHCR ‘Guidelines on statelessness No. 5: Loss and Deprivation of Nationality under Articles 5-9 of the 1961 Convention on the Reduction of statelessness’ (Geneva May 2020) </w:instrText>
      </w:r>
      <w:r w:rsidR="008A3D5E" w:rsidRPr="001347F6">
        <w:rPr>
          <w:sz w:val="24"/>
          <w:szCs w:val="24"/>
          <w:highlight w:val="white"/>
        </w:rPr>
        <w:instrText>[‘UNHCR Guidelines No. 5’]</w:instrText>
      </w:r>
      <w:r w:rsidR="008A3D5E" w:rsidRPr="001347F6">
        <w:rPr>
          <w:sz w:val="24"/>
          <w:szCs w:val="24"/>
        </w:rPr>
        <w:instrText xml:space="preserve">" \s "UNHCR Guidelines No. 5" \c 3 </w:instrText>
      </w:r>
      <w:r w:rsidR="008A3D5E" w:rsidRPr="001347F6">
        <w:rPr>
          <w:sz w:val="24"/>
          <w:szCs w:val="24"/>
          <w:highlight w:val="white"/>
        </w:rPr>
        <w:fldChar w:fldCharType="end"/>
      </w:r>
      <w:r w:rsidRPr="001347F6">
        <w:rPr>
          <w:sz w:val="24"/>
          <w:szCs w:val="24"/>
          <w:highlight w:val="white"/>
        </w:rPr>
        <w:t xml:space="preserve"> [</w:t>
      </w:r>
      <w:r w:rsidR="00FE0AD7" w:rsidRPr="001347F6">
        <w:rPr>
          <w:sz w:val="24"/>
          <w:szCs w:val="24"/>
          <w:highlight w:val="white"/>
        </w:rPr>
        <w:t>94</w:t>
      </w:r>
      <w:r w:rsidRPr="001347F6">
        <w:rPr>
          <w:sz w:val="24"/>
          <w:szCs w:val="24"/>
          <w:highlight w:val="white"/>
        </w:rPr>
        <w:t>]</w:t>
      </w:r>
      <w:r w:rsidRPr="001347F6">
        <w:rPr>
          <w:sz w:val="24"/>
          <w:szCs w:val="24"/>
        </w:rPr>
        <w:t xml:space="preserve">; </w:t>
      </w:r>
      <w:r w:rsidRPr="001347F6">
        <w:rPr>
          <w:i/>
          <w:sz w:val="24"/>
          <w:szCs w:val="24"/>
        </w:rPr>
        <w:t>K2 v United Kingdom</w:t>
      </w:r>
      <w:r w:rsidRPr="001347F6">
        <w:rPr>
          <w:sz w:val="24"/>
          <w:szCs w:val="24"/>
        </w:rPr>
        <w:t xml:space="preserve"> (</w:t>
      </w:r>
      <w:r w:rsidR="007D1B71">
        <w:rPr>
          <w:sz w:val="24"/>
          <w:szCs w:val="24"/>
        </w:rPr>
        <w:t>Judgment</w:t>
      </w:r>
      <w:r w:rsidRPr="001347F6">
        <w:rPr>
          <w:sz w:val="24"/>
          <w:szCs w:val="24"/>
        </w:rPr>
        <w:t xml:space="preserve">) </w:t>
      </w:r>
      <w:r w:rsidRPr="001347F6">
        <w:rPr>
          <w:sz w:val="24"/>
          <w:szCs w:val="24"/>
          <w:highlight w:val="white"/>
        </w:rPr>
        <w:t xml:space="preserve">ECHR </w:t>
      </w:r>
      <w:r w:rsidRPr="001347F6">
        <w:rPr>
          <w:sz w:val="24"/>
          <w:szCs w:val="24"/>
        </w:rPr>
        <w:t xml:space="preserve">App. No. 42387/13 </w:t>
      </w:r>
      <w:r w:rsidRPr="001347F6">
        <w:rPr>
          <w:sz w:val="24"/>
          <w:szCs w:val="24"/>
          <w:highlight w:val="white"/>
        </w:rPr>
        <w:t>(2 July 2017)</w:t>
      </w:r>
      <w:r w:rsidR="008A3D5E" w:rsidRPr="001347F6">
        <w:rPr>
          <w:sz w:val="24"/>
          <w:szCs w:val="24"/>
          <w:highlight w:val="white"/>
        </w:rPr>
        <w:fldChar w:fldCharType="begin"/>
      </w:r>
      <w:r w:rsidR="008A3D5E" w:rsidRPr="001347F6">
        <w:rPr>
          <w:sz w:val="24"/>
          <w:szCs w:val="24"/>
        </w:rPr>
        <w:instrText xml:space="preserve"> TA \l "</w:instrText>
      </w:r>
      <w:r w:rsidR="008A3D5E" w:rsidRPr="001347F6">
        <w:rPr>
          <w:i/>
          <w:sz w:val="24"/>
          <w:szCs w:val="24"/>
        </w:rPr>
        <w:instrText>K2 v United Kingdom</w:instrText>
      </w:r>
      <w:r w:rsidR="008A3D5E" w:rsidRPr="001347F6">
        <w:rPr>
          <w:sz w:val="24"/>
          <w:szCs w:val="24"/>
        </w:rPr>
        <w:instrText xml:space="preserve"> (Judgement) </w:instrText>
      </w:r>
      <w:r w:rsidR="008A3D5E" w:rsidRPr="001347F6">
        <w:rPr>
          <w:sz w:val="24"/>
          <w:szCs w:val="24"/>
          <w:highlight w:val="white"/>
        </w:rPr>
        <w:instrText xml:space="preserve">ECHR </w:instrText>
      </w:r>
      <w:r w:rsidR="008A3D5E" w:rsidRPr="001347F6">
        <w:rPr>
          <w:sz w:val="24"/>
          <w:szCs w:val="24"/>
        </w:rPr>
        <w:instrText xml:space="preserve">App. No. 42387/13 </w:instrText>
      </w:r>
      <w:r w:rsidR="008A3D5E" w:rsidRPr="001347F6">
        <w:rPr>
          <w:sz w:val="24"/>
          <w:szCs w:val="24"/>
          <w:highlight w:val="white"/>
        </w:rPr>
        <w:instrText>(2 July 2017)</w:instrText>
      </w:r>
      <w:r w:rsidR="008A3D5E" w:rsidRPr="001347F6">
        <w:rPr>
          <w:sz w:val="24"/>
          <w:szCs w:val="24"/>
        </w:rPr>
        <w:instrText xml:space="preserve">" \s "K2 v United Kingdom" \c 4 </w:instrText>
      </w:r>
      <w:r w:rsidR="008A3D5E" w:rsidRPr="001347F6">
        <w:rPr>
          <w:sz w:val="24"/>
          <w:szCs w:val="24"/>
          <w:highlight w:val="white"/>
        </w:rPr>
        <w:fldChar w:fldCharType="end"/>
      </w:r>
      <w:r w:rsidRPr="001347F6">
        <w:rPr>
          <w:sz w:val="24"/>
          <w:szCs w:val="24"/>
        </w:rPr>
        <w:t xml:space="preserve"> [</w:t>
      </w:r>
      <w:r w:rsidR="00FE0AD7" w:rsidRPr="001347F6">
        <w:rPr>
          <w:sz w:val="24"/>
          <w:szCs w:val="24"/>
        </w:rPr>
        <w:t>61</w:t>
      </w:r>
      <w:r w:rsidRPr="001347F6">
        <w:rPr>
          <w:sz w:val="24"/>
          <w:szCs w:val="24"/>
        </w:rPr>
        <w:t>].</w:t>
      </w:r>
    </w:p>
  </w:footnote>
  <w:footnote w:id="51">
    <w:p w14:paraId="6B160BBB" w14:textId="609B2850"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CRS</w:t>
      </w:r>
      <w:r w:rsidR="00B16E0A" w:rsidRPr="001347F6">
        <w:rPr>
          <w:i/>
          <w:sz w:val="24"/>
          <w:szCs w:val="24"/>
        </w:rPr>
        <w:t>,</w:t>
      </w:r>
      <w:r w:rsidR="000E212C" w:rsidRPr="001347F6">
        <w:rPr>
          <w:i/>
          <w:sz w:val="24"/>
          <w:szCs w:val="24"/>
        </w:rPr>
        <w:fldChar w:fldCharType="begin"/>
      </w:r>
      <w:r w:rsidR="000E212C" w:rsidRPr="001347F6">
        <w:rPr>
          <w:i/>
          <w:sz w:val="24"/>
          <w:szCs w:val="24"/>
        </w:rPr>
        <w:instrText xml:space="preserve"> TA \s "CRS," </w:instrText>
      </w:r>
      <w:r w:rsidR="000E212C" w:rsidRPr="001347F6">
        <w:rPr>
          <w:i/>
          <w:sz w:val="24"/>
          <w:szCs w:val="24"/>
        </w:rPr>
        <w:fldChar w:fldCharType="end"/>
      </w:r>
      <w:r w:rsidRPr="001347F6">
        <w:rPr>
          <w:i/>
          <w:sz w:val="24"/>
          <w:szCs w:val="24"/>
        </w:rPr>
        <w:t xml:space="preserve"> </w:t>
      </w:r>
      <w:r w:rsidRPr="001347F6">
        <w:rPr>
          <w:sz w:val="24"/>
          <w:szCs w:val="24"/>
        </w:rPr>
        <w:t>Art 8(4).</w:t>
      </w:r>
    </w:p>
    <w:p w14:paraId="47CCEB36" w14:textId="77777777" w:rsidR="008C2177" w:rsidRPr="001347F6" w:rsidRDefault="008C2177" w:rsidP="001347F6">
      <w:pPr>
        <w:widowControl/>
        <w:jc w:val="both"/>
        <w:rPr>
          <w:sz w:val="24"/>
          <w:szCs w:val="24"/>
        </w:rPr>
      </w:pPr>
    </w:p>
  </w:footnote>
  <w:footnote w:id="52">
    <w:p w14:paraId="1B684E36" w14:textId="0AE4D449" w:rsidR="008C2177" w:rsidRPr="001347F6" w:rsidRDefault="00000000" w:rsidP="001347F6">
      <w:pPr>
        <w:widowControl/>
        <w:jc w:val="both"/>
        <w:rPr>
          <w:sz w:val="24"/>
          <w:szCs w:val="24"/>
        </w:rPr>
      </w:pPr>
      <w:r w:rsidRPr="001347F6">
        <w:rPr>
          <w:sz w:val="24"/>
          <w:szCs w:val="24"/>
          <w:vertAlign w:val="superscript"/>
        </w:rPr>
        <w:footnoteRef/>
      </w:r>
      <w:r w:rsidRPr="001347F6">
        <w:rPr>
          <w:i/>
          <w:sz w:val="24"/>
          <w:szCs w:val="24"/>
        </w:rPr>
        <w:t xml:space="preserve"> Piechowicz v Poland</w:t>
      </w:r>
      <w:r w:rsidRPr="001347F6">
        <w:rPr>
          <w:sz w:val="24"/>
          <w:szCs w:val="24"/>
        </w:rPr>
        <w:t xml:space="preserve"> (</w:t>
      </w:r>
      <w:r w:rsidR="007D1B71">
        <w:rPr>
          <w:sz w:val="24"/>
          <w:szCs w:val="24"/>
        </w:rPr>
        <w:t>Judgment</w:t>
      </w:r>
      <w:r w:rsidRPr="001347F6">
        <w:rPr>
          <w:sz w:val="24"/>
          <w:szCs w:val="24"/>
        </w:rPr>
        <w:t xml:space="preserve">) </w:t>
      </w:r>
      <w:r w:rsidRPr="001347F6">
        <w:rPr>
          <w:sz w:val="24"/>
          <w:szCs w:val="24"/>
          <w:highlight w:val="white"/>
        </w:rPr>
        <w:t xml:space="preserve">ECHR </w:t>
      </w:r>
      <w:r w:rsidRPr="001347F6">
        <w:rPr>
          <w:sz w:val="24"/>
          <w:szCs w:val="24"/>
        </w:rPr>
        <w:t>App. No. 20071/07 (17 April 2012)</w:t>
      </w:r>
      <w:r w:rsidR="008A3D5E" w:rsidRPr="001347F6">
        <w:rPr>
          <w:sz w:val="24"/>
          <w:szCs w:val="24"/>
        </w:rPr>
        <w:fldChar w:fldCharType="begin"/>
      </w:r>
      <w:r w:rsidR="008A3D5E" w:rsidRPr="001347F6">
        <w:rPr>
          <w:sz w:val="24"/>
          <w:szCs w:val="24"/>
        </w:rPr>
        <w:instrText xml:space="preserve"> TA \l "</w:instrText>
      </w:r>
      <w:r w:rsidR="008A3D5E" w:rsidRPr="001347F6">
        <w:rPr>
          <w:i/>
          <w:sz w:val="24"/>
          <w:szCs w:val="24"/>
        </w:rPr>
        <w:instrText>Piechowicz v Poland</w:instrText>
      </w:r>
      <w:r w:rsidR="008A3D5E" w:rsidRPr="001347F6">
        <w:rPr>
          <w:sz w:val="24"/>
          <w:szCs w:val="24"/>
        </w:rPr>
        <w:instrText xml:space="preserve"> (Judgement) </w:instrText>
      </w:r>
      <w:r w:rsidR="008A3D5E" w:rsidRPr="001347F6">
        <w:rPr>
          <w:sz w:val="24"/>
          <w:szCs w:val="24"/>
          <w:highlight w:val="white"/>
        </w:rPr>
        <w:instrText xml:space="preserve">ECHR </w:instrText>
      </w:r>
      <w:r w:rsidR="008A3D5E" w:rsidRPr="001347F6">
        <w:rPr>
          <w:sz w:val="24"/>
          <w:szCs w:val="24"/>
        </w:rPr>
        <w:instrText xml:space="preserve">App. No. 20071/07 (17 April 2012)" \s "Piechowicz v Poland" \c 4 </w:instrText>
      </w:r>
      <w:r w:rsidR="008A3D5E" w:rsidRPr="001347F6">
        <w:rPr>
          <w:sz w:val="24"/>
          <w:szCs w:val="24"/>
        </w:rPr>
        <w:fldChar w:fldCharType="end"/>
      </w:r>
      <w:r w:rsidRPr="001347F6">
        <w:rPr>
          <w:sz w:val="24"/>
          <w:szCs w:val="24"/>
        </w:rPr>
        <w:t xml:space="preserve"> [212]. </w:t>
      </w:r>
    </w:p>
    <w:p w14:paraId="0B8D2E0F" w14:textId="77777777" w:rsidR="008C2177" w:rsidRPr="001347F6" w:rsidRDefault="008C2177" w:rsidP="001347F6">
      <w:pPr>
        <w:widowControl/>
        <w:jc w:val="both"/>
        <w:rPr>
          <w:sz w:val="24"/>
          <w:szCs w:val="24"/>
        </w:rPr>
      </w:pPr>
    </w:p>
  </w:footnote>
  <w:footnote w:id="53">
    <w:p w14:paraId="422CB104" w14:textId="6AEC1922"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HRComm ‘General Comment 27 - </w:t>
      </w:r>
      <w:r w:rsidRPr="001347F6">
        <w:rPr>
          <w:sz w:val="24"/>
          <w:szCs w:val="24"/>
          <w:highlight w:val="white"/>
        </w:rPr>
        <w:t>Article 12: Freedoms of Movement</w:t>
      </w:r>
      <w:r w:rsidRPr="001347F6">
        <w:rPr>
          <w:sz w:val="24"/>
          <w:szCs w:val="24"/>
        </w:rPr>
        <w:t>’ (</w:t>
      </w:r>
      <w:r w:rsidRPr="001347F6">
        <w:rPr>
          <w:sz w:val="24"/>
          <w:szCs w:val="24"/>
          <w:highlight w:val="white"/>
        </w:rPr>
        <w:t>2 November 1999) UN D</w:t>
      </w:r>
      <w:r w:rsidRPr="001347F6">
        <w:rPr>
          <w:sz w:val="24"/>
          <w:szCs w:val="24"/>
        </w:rPr>
        <w:t>oc CCPR/C/21/Rev.1/Add.9 [‘General Comment 27’]</w:t>
      </w:r>
      <w:r w:rsidR="008A3D5E" w:rsidRPr="001347F6">
        <w:rPr>
          <w:sz w:val="24"/>
          <w:szCs w:val="24"/>
        </w:rPr>
        <w:fldChar w:fldCharType="begin"/>
      </w:r>
      <w:r w:rsidR="008A3D5E" w:rsidRPr="001347F6">
        <w:rPr>
          <w:sz w:val="24"/>
          <w:szCs w:val="24"/>
        </w:rPr>
        <w:instrText xml:space="preserve"> TA \l "HRComm ‘General Comment 27 - </w:instrText>
      </w:r>
      <w:r w:rsidR="008A3D5E" w:rsidRPr="001347F6">
        <w:rPr>
          <w:sz w:val="24"/>
          <w:szCs w:val="24"/>
          <w:highlight w:val="white"/>
        </w:rPr>
        <w:instrText>Article 12: Freedoms of Movement</w:instrText>
      </w:r>
      <w:r w:rsidR="008A3D5E" w:rsidRPr="001347F6">
        <w:rPr>
          <w:sz w:val="24"/>
          <w:szCs w:val="24"/>
        </w:rPr>
        <w:instrText>’ (</w:instrText>
      </w:r>
      <w:r w:rsidR="008A3D5E" w:rsidRPr="001347F6">
        <w:rPr>
          <w:sz w:val="24"/>
          <w:szCs w:val="24"/>
          <w:highlight w:val="white"/>
        </w:rPr>
        <w:instrText>2 November 1999) UN D</w:instrText>
      </w:r>
      <w:r w:rsidR="008A3D5E" w:rsidRPr="001347F6">
        <w:rPr>
          <w:sz w:val="24"/>
          <w:szCs w:val="24"/>
        </w:rPr>
        <w:instrText xml:space="preserve">oc CCPR/C/21/Rev.1/Add.9 [‘General Comment 27’]" \s "General Comment 27" \c 3 </w:instrText>
      </w:r>
      <w:r w:rsidR="008A3D5E" w:rsidRPr="001347F6">
        <w:rPr>
          <w:sz w:val="24"/>
          <w:szCs w:val="24"/>
        </w:rPr>
        <w:fldChar w:fldCharType="end"/>
      </w:r>
      <w:r w:rsidRPr="001347F6">
        <w:rPr>
          <w:sz w:val="24"/>
          <w:szCs w:val="24"/>
        </w:rPr>
        <w:t xml:space="preserve"> [13].</w:t>
      </w:r>
    </w:p>
    <w:p w14:paraId="478FCFCD" w14:textId="77777777" w:rsidR="008C2177" w:rsidRPr="001347F6" w:rsidRDefault="008C2177" w:rsidP="001347F6">
      <w:pPr>
        <w:widowControl/>
        <w:jc w:val="both"/>
        <w:rPr>
          <w:sz w:val="24"/>
          <w:szCs w:val="24"/>
        </w:rPr>
      </w:pPr>
    </w:p>
  </w:footnote>
  <w:footnote w:id="54">
    <w:p w14:paraId="7323D425" w14:textId="78FEEA87"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General Comment 34</w:t>
      </w:r>
      <w:r w:rsidR="00F66AB9" w:rsidRPr="001347F6">
        <w:rPr>
          <w:sz w:val="24"/>
          <w:szCs w:val="24"/>
        </w:rPr>
        <w:fldChar w:fldCharType="begin"/>
      </w:r>
      <w:r w:rsidR="00F66AB9" w:rsidRPr="001347F6">
        <w:rPr>
          <w:sz w:val="24"/>
          <w:szCs w:val="24"/>
        </w:rPr>
        <w:instrText xml:space="preserve"> TA \s "General Comment 34" </w:instrText>
      </w:r>
      <w:r w:rsidR="00F66AB9" w:rsidRPr="001347F6">
        <w:rPr>
          <w:sz w:val="24"/>
          <w:szCs w:val="24"/>
        </w:rPr>
        <w:fldChar w:fldCharType="end"/>
      </w:r>
      <w:r w:rsidRPr="001347F6">
        <w:rPr>
          <w:sz w:val="24"/>
          <w:szCs w:val="24"/>
        </w:rPr>
        <w:t>, [25].</w:t>
      </w:r>
    </w:p>
    <w:p w14:paraId="408E8621" w14:textId="77777777" w:rsidR="008C2177" w:rsidRPr="001347F6" w:rsidRDefault="008C2177" w:rsidP="001347F6">
      <w:pPr>
        <w:widowControl/>
        <w:jc w:val="both"/>
        <w:rPr>
          <w:sz w:val="24"/>
          <w:szCs w:val="24"/>
        </w:rPr>
      </w:pPr>
    </w:p>
  </w:footnote>
  <w:footnote w:id="55">
    <w:p w14:paraId="36BC6F0A" w14:textId="77777777"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w:t>
      </w:r>
      <w:r w:rsidRPr="001347F6">
        <w:rPr>
          <w:sz w:val="24"/>
          <w:szCs w:val="24"/>
          <w:highlight w:val="white"/>
        </w:rPr>
        <w:t>Compromis, [7].</w:t>
      </w:r>
    </w:p>
    <w:p w14:paraId="75FC9E4F" w14:textId="77777777" w:rsidR="008C2177" w:rsidRPr="001347F6" w:rsidRDefault="008C2177" w:rsidP="001347F6">
      <w:pPr>
        <w:widowControl/>
        <w:jc w:val="both"/>
        <w:rPr>
          <w:sz w:val="24"/>
          <w:szCs w:val="24"/>
        </w:rPr>
      </w:pPr>
    </w:p>
  </w:footnote>
  <w:footnote w:id="56">
    <w:p w14:paraId="77522812" w14:textId="1F479C54"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HRComm ‘Concluding observations on the second periodic report of Thailand’ (25 April 2017) UN Doc CCPR/C/THA/CO/2</w:t>
      </w:r>
      <w:r w:rsidR="00DC64B4" w:rsidRPr="001347F6">
        <w:rPr>
          <w:sz w:val="24"/>
          <w:szCs w:val="24"/>
        </w:rPr>
        <w:fldChar w:fldCharType="begin"/>
      </w:r>
      <w:r w:rsidR="00DC64B4" w:rsidRPr="001347F6">
        <w:rPr>
          <w:sz w:val="24"/>
          <w:szCs w:val="24"/>
        </w:rPr>
        <w:instrText xml:space="preserve"> TA \l "HRComm ‘Concluding observations on the second periodic report of Thailand’ (25 April 2017) UN Doc CCPR/C/THA/CO/2" \s "UN Doc CCPR/C/THA/CO/2" \c 3 </w:instrText>
      </w:r>
      <w:r w:rsidR="00DC64B4" w:rsidRPr="001347F6">
        <w:rPr>
          <w:sz w:val="24"/>
          <w:szCs w:val="24"/>
        </w:rPr>
        <w:fldChar w:fldCharType="end"/>
      </w:r>
      <w:r w:rsidRPr="001347F6">
        <w:rPr>
          <w:sz w:val="24"/>
          <w:szCs w:val="24"/>
        </w:rPr>
        <w:t xml:space="preserve"> [37]-[38].</w:t>
      </w:r>
    </w:p>
    <w:p w14:paraId="25D81F9F" w14:textId="77777777" w:rsidR="008C2177" w:rsidRPr="001347F6" w:rsidRDefault="008C2177" w:rsidP="001347F6">
      <w:pPr>
        <w:widowControl/>
        <w:jc w:val="both"/>
        <w:rPr>
          <w:sz w:val="24"/>
          <w:szCs w:val="24"/>
        </w:rPr>
      </w:pPr>
    </w:p>
  </w:footnote>
  <w:footnote w:id="57">
    <w:p w14:paraId="6F41CB95" w14:textId="0A0A4AEC" w:rsidR="008C2177"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Thai Criminal Code B.E. 2499 (01 January 2003) (Thailand)</w:t>
      </w:r>
      <w:r w:rsidR="00DC64B4" w:rsidRPr="001347F6">
        <w:rPr>
          <w:sz w:val="24"/>
          <w:szCs w:val="24"/>
        </w:rPr>
        <w:fldChar w:fldCharType="begin"/>
      </w:r>
      <w:r w:rsidR="00DC64B4" w:rsidRPr="001347F6">
        <w:rPr>
          <w:sz w:val="24"/>
          <w:szCs w:val="24"/>
        </w:rPr>
        <w:instrText xml:space="preserve"> TA \l "Thai Criminal Code B.E. 2499 (01 January 2003) (Thailand)" \s "Thai Criminal Code B.E. 2499 (01 January 2003) (Thailand)" \c 8 </w:instrText>
      </w:r>
      <w:r w:rsidR="00DC64B4" w:rsidRPr="001347F6">
        <w:rPr>
          <w:sz w:val="24"/>
          <w:szCs w:val="24"/>
        </w:rPr>
        <w:fldChar w:fldCharType="end"/>
      </w:r>
      <w:r w:rsidRPr="001347F6">
        <w:rPr>
          <w:sz w:val="24"/>
          <w:szCs w:val="24"/>
        </w:rPr>
        <w:t xml:space="preserve"> Art 112; </w:t>
      </w:r>
      <w:r w:rsidRPr="001347F6">
        <w:rPr>
          <w:sz w:val="24"/>
          <w:szCs w:val="24"/>
          <w:highlight w:val="white"/>
        </w:rPr>
        <w:t xml:space="preserve">International Commission of Jurists, </w:t>
      </w:r>
      <w:r w:rsidRPr="001347F6">
        <w:rPr>
          <w:i/>
          <w:sz w:val="24"/>
          <w:szCs w:val="24"/>
          <w:highlight w:val="white"/>
        </w:rPr>
        <w:t>Dictating the Internet: Curtailing Free Expression and Information Online in Thailand</w:t>
      </w:r>
      <w:r w:rsidRPr="001347F6">
        <w:rPr>
          <w:sz w:val="24"/>
          <w:szCs w:val="24"/>
          <w:highlight w:val="white"/>
        </w:rPr>
        <w:t xml:space="preserve"> (5 April 2021)</w:t>
      </w:r>
      <w:r w:rsidR="00DC64B4" w:rsidRPr="001347F6">
        <w:rPr>
          <w:sz w:val="24"/>
          <w:szCs w:val="24"/>
          <w:highlight w:val="white"/>
        </w:rPr>
        <w:fldChar w:fldCharType="begin"/>
      </w:r>
      <w:r w:rsidR="00DC64B4" w:rsidRPr="001347F6">
        <w:rPr>
          <w:sz w:val="24"/>
          <w:szCs w:val="24"/>
        </w:rPr>
        <w:instrText xml:space="preserve"> TA \l "</w:instrText>
      </w:r>
      <w:r w:rsidR="00DC64B4" w:rsidRPr="001347F6">
        <w:rPr>
          <w:sz w:val="24"/>
          <w:szCs w:val="24"/>
          <w:highlight w:val="white"/>
        </w:rPr>
        <w:instrText xml:space="preserve">International Commission of Jurists, </w:instrText>
      </w:r>
      <w:r w:rsidR="00DC64B4" w:rsidRPr="001347F6">
        <w:rPr>
          <w:i/>
          <w:sz w:val="24"/>
          <w:szCs w:val="24"/>
          <w:highlight w:val="white"/>
        </w:rPr>
        <w:instrText>Dictating the Internet: Curtailing Free Expression and Information Online in Thailand</w:instrText>
      </w:r>
      <w:r w:rsidR="00DC64B4" w:rsidRPr="001347F6">
        <w:rPr>
          <w:sz w:val="24"/>
          <w:szCs w:val="24"/>
          <w:highlight w:val="white"/>
        </w:rPr>
        <w:instrText xml:space="preserve"> (5 April 2021)</w:instrText>
      </w:r>
      <w:r w:rsidR="00DC64B4" w:rsidRPr="001347F6">
        <w:rPr>
          <w:sz w:val="24"/>
          <w:szCs w:val="24"/>
        </w:rPr>
        <w:instrText xml:space="preserve">" \s "International Commission of Jurists" \c 7 </w:instrText>
      </w:r>
      <w:r w:rsidR="00DC64B4" w:rsidRPr="001347F6">
        <w:rPr>
          <w:sz w:val="24"/>
          <w:szCs w:val="24"/>
          <w:highlight w:val="white"/>
        </w:rPr>
        <w:fldChar w:fldCharType="end"/>
      </w:r>
      <w:r w:rsidRPr="001347F6">
        <w:rPr>
          <w:sz w:val="24"/>
          <w:szCs w:val="24"/>
          <w:highlight w:val="white"/>
        </w:rPr>
        <w:t xml:space="preserve"> pp. 25. </w:t>
      </w:r>
    </w:p>
    <w:p w14:paraId="4C68FC94" w14:textId="77777777" w:rsidR="001347F6" w:rsidRPr="001347F6" w:rsidRDefault="001347F6" w:rsidP="001347F6">
      <w:pPr>
        <w:widowControl/>
        <w:jc w:val="both"/>
        <w:rPr>
          <w:sz w:val="24"/>
          <w:szCs w:val="24"/>
        </w:rPr>
      </w:pPr>
    </w:p>
    <w:p w14:paraId="4A2C1581" w14:textId="77777777" w:rsidR="008C2177" w:rsidRPr="001347F6" w:rsidRDefault="008C2177" w:rsidP="001347F6">
      <w:pPr>
        <w:widowControl/>
        <w:jc w:val="both"/>
        <w:rPr>
          <w:sz w:val="24"/>
          <w:szCs w:val="24"/>
        </w:rPr>
      </w:pPr>
    </w:p>
  </w:footnote>
  <w:footnote w:id="58">
    <w:p w14:paraId="1841D1CE" w14:textId="14F0CEBB"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CRS</w:t>
      </w:r>
      <w:r w:rsidR="00B16E0A" w:rsidRPr="001347F6">
        <w:rPr>
          <w:sz w:val="24"/>
          <w:szCs w:val="24"/>
        </w:rPr>
        <w:t>,</w:t>
      </w:r>
      <w:r w:rsidR="000E212C" w:rsidRPr="001347F6">
        <w:rPr>
          <w:sz w:val="24"/>
          <w:szCs w:val="24"/>
        </w:rPr>
        <w:fldChar w:fldCharType="begin"/>
      </w:r>
      <w:r w:rsidR="000E212C" w:rsidRPr="001347F6">
        <w:rPr>
          <w:sz w:val="24"/>
          <w:szCs w:val="24"/>
        </w:rPr>
        <w:instrText xml:space="preserve"> TA \s "CRS," </w:instrText>
      </w:r>
      <w:r w:rsidR="000E212C" w:rsidRPr="001347F6">
        <w:rPr>
          <w:sz w:val="24"/>
          <w:szCs w:val="24"/>
        </w:rPr>
        <w:fldChar w:fldCharType="end"/>
      </w:r>
      <w:r w:rsidRPr="001347F6">
        <w:rPr>
          <w:sz w:val="24"/>
          <w:szCs w:val="24"/>
        </w:rPr>
        <w:t xml:space="preserve"> Art 8(3)(a).</w:t>
      </w:r>
    </w:p>
    <w:p w14:paraId="301A7A71" w14:textId="77777777" w:rsidR="008C2177" w:rsidRPr="001347F6" w:rsidRDefault="008C2177" w:rsidP="001347F6">
      <w:pPr>
        <w:widowControl/>
        <w:jc w:val="both"/>
        <w:rPr>
          <w:sz w:val="24"/>
          <w:szCs w:val="24"/>
        </w:rPr>
      </w:pPr>
    </w:p>
  </w:footnote>
  <w:footnote w:id="59">
    <w:p w14:paraId="02D81A25" w14:textId="690FF898"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CRS</w:t>
      </w:r>
      <w:r w:rsidR="00B16E0A" w:rsidRPr="001347F6">
        <w:rPr>
          <w:sz w:val="24"/>
          <w:szCs w:val="24"/>
        </w:rPr>
        <w:t>,</w:t>
      </w:r>
      <w:r w:rsidR="000E212C" w:rsidRPr="001347F6">
        <w:rPr>
          <w:sz w:val="24"/>
          <w:szCs w:val="24"/>
        </w:rPr>
        <w:fldChar w:fldCharType="begin"/>
      </w:r>
      <w:r w:rsidR="000E212C" w:rsidRPr="001347F6">
        <w:rPr>
          <w:sz w:val="24"/>
          <w:szCs w:val="24"/>
        </w:rPr>
        <w:instrText xml:space="preserve"> TA \s "CRS," </w:instrText>
      </w:r>
      <w:r w:rsidR="000E212C" w:rsidRPr="001347F6">
        <w:rPr>
          <w:sz w:val="24"/>
          <w:szCs w:val="24"/>
        </w:rPr>
        <w:fldChar w:fldCharType="end"/>
      </w:r>
      <w:r w:rsidRPr="001347F6">
        <w:rPr>
          <w:sz w:val="24"/>
          <w:szCs w:val="24"/>
        </w:rPr>
        <w:t xml:space="preserve"> Article 8(3)(a)(i).</w:t>
      </w:r>
    </w:p>
    <w:p w14:paraId="376FAFCB" w14:textId="77777777" w:rsidR="008C2177" w:rsidRPr="001347F6" w:rsidRDefault="008C2177" w:rsidP="001347F6">
      <w:pPr>
        <w:widowControl/>
        <w:jc w:val="both"/>
        <w:rPr>
          <w:sz w:val="24"/>
          <w:szCs w:val="24"/>
        </w:rPr>
      </w:pPr>
    </w:p>
  </w:footnote>
  <w:footnote w:id="60">
    <w:p w14:paraId="52B7DAFC" w14:textId="026D9B0C"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CRS</w:t>
      </w:r>
      <w:r w:rsidR="00150089" w:rsidRPr="001347F6">
        <w:rPr>
          <w:sz w:val="24"/>
          <w:szCs w:val="24"/>
        </w:rPr>
        <w:t>,</w:t>
      </w:r>
      <w:r w:rsidR="000E212C" w:rsidRPr="001347F6">
        <w:rPr>
          <w:sz w:val="24"/>
          <w:szCs w:val="24"/>
        </w:rPr>
        <w:fldChar w:fldCharType="begin"/>
      </w:r>
      <w:r w:rsidR="000E212C" w:rsidRPr="001347F6">
        <w:rPr>
          <w:sz w:val="24"/>
          <w:szCs w:val="24"/>
        </w:rPr>
        <w:instrText xml:space="preserve"> TA \s "CRS," </w:instrText>
      </w:r>
      <w:r w:rsidR="000E212C" w:rsidRPr="001347F6">
        <w:rPr>
          <w:sz w:val="24"/>
          <w:szCs w:val="24"/>
        </w:rPr>
        <w:fldChar w:fldCharType="end"/>
      </w:r>
      <w:r w:rsidRPr="001347F6">
        <w:rPr>
          <w:sz w:val="24"/>
          <w:szCs w:val="24"/>
        </w:rPr>
        <w:t xml:space="preserve"> Article 8(3)(a)(ii); </w:t>
      </w:r>
      <w:r w:rsidRPr="001347F6">
        <w:rPr>
          <w:sz w:val="24"/>
          <w:szCs w:val="24"/>
          <w:highlight w:val="white"/>
        </w:rPr>
        <w:t>UNHCR Guidelines No. 5</w:t>
      </w:r>
      <w:r w:rsidR="008A3D5E" w:rsidRPr="001347F6">
        <w:rPr>
          <w:sz w:val="24"/>
          <w:szCs w:val="24"/>
          <w:highlight w:val="white"/>
        </w:rPr>
        <w:fldChar w:fldCharType="begin"/>
      </w:r>
      <w:r w:rsidR="008A3D5E" w:rsidRPr="001347F6">
        <w:rPr>
          <w:sz w:val="24"/>
          <w:szCs w:val="24"/>
          <w:highlight w:val="white"/>
        </w:rPr>
        <w:instrText xml:space="preserve"> TA \s "UNHCR Guidelines No. 5" </w:instrText>
      </w:r>
      <w:r w:rsidR="008A3D5E" w:rsidRPr="001347F6">
        <w:rPr>
          <w:sz w:val="24"/>
          <w:szCs w:val="24"/>
          <w:highlight w:val="white"/>
        </w:rPr>
        <w:fldChar w:fldCharType="end"/>
      </w:r>
      <w:r w:rsidRPr="001347F6">
        <w:rPr>
          <w:sz w:val="24"/>
          <w:szCs w:val="24"/>
          <w:highlight w:val="white"/>
        </w:rPr>
        <w:t>, [64]-[66]</w:t>
      </w:r>
      <w:r w:rsidRPr="001347F6">
        <w:rPr>
          <w:sz w:val="24"/>
          <w:szCs w:val="24"/>
        </w:rPr>
        <w:t>.</w:t>
      </w:r>
    </w:p>
    <w:p w14:paraId="7258D707" w14:textId="77777777" w:rsidR="008C2177" w:rsidRPr="001347F6" w:rsidRDefault="008C2177" w:rsidP="001347F6">
      <w:pPr>
        <w:widowControl/>
        <w:jc w:val="both"/>
        <w:rPr>
          <w:sz w:val="24"/>
          <w:szCs w:val="24"/>
        </w:rPr>
      </w:pPr>
    </w:p>
  </w:footnote>
  <w:footnote w:id="61">
    <w:p w14:paraId="553E0D72" w14:textId="0E705F01"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‘United Nations Conference on the Elimination or Reduction of Future statelessness’ (11 October 1961) UN Doc A/CONF.9/SR.21, [‘CRS</w:t>
      </w:r>
      <w:r w:rsidR="00150089" w:rsidRPr="001347F6">
        <w:rPr>
          <w:sz w:val="24"/>
          <w:szCs w:val="24"/>
        </w:rPr>
        <w:t>,</w:t>
      </w:r>
      <w:r w:rsidR="000E212C" w:rsidRPr="001347F6">
        <w:rPr>
          <w:sz w:val="24"/>
          <w:szCs w:val="24"/>
        </w:rPr>
        <w:fldChar w:fldCharType="begin"/>
      </w:r>
      <w:r w:rsidR="000E212C" w:rsidRPr="001347F6">
        <w:rPr>
          <w:sz w:val="24"/>
          <w:szCs w:val="24"/>
        </w:rPr>
        <w:instrText xml:space="preserve"> TA \s "CRS," </w:instrText>
      </w:r>
      <w:r w:rsidR="000E212C" w:rsidRPr="001347F6">
        <w:rPr>
          <w:sz w:val="24"/>
          <w:szCs w:val="24"/>
        </w:rPr>
        <w:fldChar w:fldCharType="end"/>
      </w:r>
      <w:r w:rsidRPr="001347F6">
        <w:rPr>
          <w:sz w:val="24"/>
          <w:szCs w:val="24"/>
        </w:rPr>
        <w:t xml:space="preserve"> Art 8(3) travaux pr</w:t>
      </w:r>
      <w:r w:rsidR="00DC64B4" w:rsidRPr="001347F6">
        <w:rPr>
          <w:sz w:val="24"/>
          <w:szCs w:val="24"/>
        </w:rPr>
        <w:t>é</w:t>
      </w:r>
      <w:r w:rsidRPr="001347F6">
        <w:rPr>
          <w:sz w:val="24"/>
          <w:szCs w:val="24"/>
        </w:rPr>
        <w:t>paratoires</w:t>
      </w:r>
      <w:r w:rsidRPr="001347F6">
        <w:rPr>
          <w:i/>
          <w:sz w:val="24"/>
          <w:szCs w:val="24"/>
        </w:rPr>
        <w:t>’</w:t>
      </w:r>
      <w:r w:rsidRPr="001347F6">
        <w:rPr>
          <w:sz w:val="24"/>
          <w:szCs w:val="24"/>
        </w:rPr>
        <w:t>]</w:t>
      </w:r>
      <w:r w:rsidR="00DC64B4" w:rsidRPr="001347F6">
        <w:rPr>
          <w:sz w:val="24"/>
          <w:szCs w:val="24"/>
        </w:rPr>
        <w:fldChar w:fldCharType="begin"/>
      </w:r>
      <w:r w:rsidR="00DC64B4" w:rsidRPr="001347F6">
        <w:rPr>
          <w:sz w:val="24"/>
          <w:szCs w:val="24"/>
        </w:rPr>
        <w:instrText xml:space="preserve"> TA \l "‘United Nations Conference on the Elimination or Reduction of Future statelessness’ (11 October 1961) UN Doc A/CONF.9/SR.21, [‘CRS, Art 8(3) travaux préparatoires</w:instrText>
      </w:r>
      <w:r w:rsidR="00DC64B4" w:rsidRPr="001347F6">
        <w:rPr>
          <w:i/>
          <w:sz w:val="24"/>
          <w:szCs w:val="24"/>
        </w:rPr>
        <w:instrText>’</w:instrText>
      </w:r>
      <w:r w:rsidR="00DC64B4" w:rsidRPr="001347F6">
        <w:rPr>
          <w:sz w:val="24"/>
          <w:szCs w:val="24"/>
        </w:rPr>
        <w:instrText xml:space="preserve">]" \s "CRS, Art 8(3) travaux préparatoires" \c 3 </w:instrText>
      </w:r>
      <w:r w:rsidR="00DC64B4" w:rsidRPr="001347F6">
        <w:rPr>
          <w:sz w:val="24"/>
          <w:szCs w:val="24"/>
        </w:rPr>
        <w:fldChar w:fldCharType="end"/>
      </w:r>
      <w:r w:rsidR="00150089" w:rsidRPr="001347F6">
        <w:rPr>
          <w:sz w:val="24"/>
          <w:szCs w:val="24"/>
        </w:rPr>
        <w:t>,</w:t>
      </w:r>
      <w:r w:rsidRPr="001347F6">
        <w:rPr>
          <w:sz w:val="24"/>
          <w:szCs w:val="24"/>
        </w:rPr>
        <w:t xml:space="preserve"> pp. 13; </w:t>
      </w:r>
      <w:r w:rsidRPr="001347F6">
        <w:rPr>
          <w:sz w:val="24"/>
          <w:szCs w:val="24"/>
          <w:highlight w:val="white"/>
        </w:rPr>
        <w:t>UNHCR Guidelines No. 5</w:t>
      </w:r>
      <w:r w:rsidR="008A3D5E" w:rsidRPr="001347F6">
        <w:rPr>
          <w:sz w:val="24"/>
          <w:szCs w:val="24"/>
          <w:highlight w:val="white"/>
        </w:rPr>
        <w:fldChar w:fldCharType="begin"/>
      </w:r>
      <w:r w:rsidR="008A3D5E" w:rsidRPr="001347F6">
        <w:rPr>
          <w:sz w:val="24"/>
          <w:szCs w:val="24"/>
          <w:highlight w:val="white"/>
        </w:rPr>
        <w:instrText xml:space="preserve"> TA \s "UNHCR Guidelines No. 5" </w:instrText>
      </w:r>
      <w:r w:rsidR="008A3D5E" w:rsidRPr="001347F6">
        <w:rPr>
          <w:sz w:val="24"/>
          <w:szCs w:val="24"/>
          <w:highlight w:val="white"/>
        </w:rPr>
        <w:fldChar w:fldCharType="end"/>
      </w:r>
      <w:r w:rsidRPr="001347F6">
        <w:rPr>
          <w:sz w:val="24"/>
          <w:szCs w:val="24"/>
          <w:highlight w:val="white"/>
        </w:rPr>
        <w:t>,</w:t>
      </w:r>
      <w:r w:rsidRPr="001347F6">
        <w:rPr>
          <w:sz w:val="24"/>
          <w:szCs w:val="24"/>
        </w:rPr>
        <w:t xml:space="preserve"> [62].</w:t>
      </w:r>
    </w:p>
    <w:p w14:paraId="4896A974" w14:textId="77777777" w:rsidR="008C2177" w:rsidRPr="001347F6" w:rsidRDefault="008C2177" w:rsidP="001347F6">
      <w:pPr>
        <w:widowControl/>
        <w:jc w:val="both"/>
        <w:rPr>
          <w:sz w:val="24"/>
          <w:szCs w:val="24"/>
        </w:rPr>
      </w:pPr>
    </w:p>
  </w:footnote>
  <w:footnote w:id="62">
    <w:p w14:paraId="56EF9537" w14:textId="20947E0F"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UNHCR ‘Interpreting the 1961 statelessness Convention and Avoiding statelessness resulting from Loss and Deprivation of Nationality’ (Tunisia November 2013) [‘UNHCR Tunis Conclusions’]</w:t>
      </w:r>
      <w:r w:rsidR="00DC64B4" w:rsidRPr="001347F6">
        <w:rPr>
          <w:sz w:val="24"/>
          <w:szCs w:val="24"/>
        </w:rPr>
        <w:fldChar w:fldCharType="begin"/>
      </w:r>
      <w:r w:rsidR="00DC64B4" w:rsidRPr="001347F6">
        <w:rPr>
          <w:sz w:val="24"/>
          <w:szCs w:val="24"/>
        </w:rPr>
        <w:instrText xml:space="preserve"> TA \l "UNHCR ‘Interpreting the 1961 statelessness Convention and Avoiding statelessness resulting from Loss and Deprivation of Nationality’ (Tunisia November 2013) [‘UNHCR Tunis Conclusions’]" \s "UNHCR Tunis Conclusions" \c 3 </w:instrText>
      </w:r>
      <w:r w:rsidR="00DC64B4" w:rsidRPr="001347F6">
        <w:rPr>
          <w:sz w:val="24"/>
          <w:szCs w:val="24"/>
        </w:rPr>
        <w:fldChar w:fldCharType="end"/>
      </w:r>
      <w:r w:rsidRPr="001347F6">
        <w:rPr>
          <w:sz w:val="24"/>
          <w:szCs w:val="24"/>
        </w:rPr>
        <w:t xml:space="preserve"> [68].</w:t>
      </w:r>
    </w:p>
    <w:p w14:paraId="403C4329" w14:textId="77777777" w:rsidR="008C2177" w:rsidRPr="001347F6" w:rsidRDefault="008C2177" w:rsidP="001347F6">
      <w:pPr>
        <w:widowControl/>
        <w:jc w:val="both"/>
        <w:rPr>
          <w:sz w:val="24"/>
          <w:szCs w:val="24"/>
        </w:rPr>
      </w:pPr>
    </w:p>
  </w:footnote>
  <w:footnote w:id="63">
    <w:p w14:paraId="62E9501D" w14:textId="0C309D64" w:rsidR="008C2177"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ECOSOC ‘A Study of statelessness: Deprivation of nationality should not be applied as a punishment’ UN Docs E/1112; E/1112/Add.1 (August 1949)</w:t>
      </w:r>
      <w:r w:rsidR="00911125" w:rsidRPr="001347F6">
        <w:rPr>
          <w:sz w:val="24"/>
          <w:szCs w:val="24"/>
        </w:rPr>
        <w:fldChar w:fldCharType="begin"/>
      </w:r>
      <w:r w:rsidR="00911125" w:rsidRPr="001347F6">
        <w:rPr>
          <w:sz w:val="24"/>
          <w:szCs w:val="24"/>
        </w:rPr>
        <w:instrText xml:space="preserve"> TA \l "ECOSOC ‘A Study of statelessness: Deprivation of nationality should not be applied as a punishment’ UN Docs E/1112; E/1112/Add.1 (August 1949)" \s "UN Docs E/1112; E/1112/Add.1" \c 3 </w:instrText>
      </w:r>
      <w:r w:rsidR="00911125" w:rsidRPr="001347F6">
        <w:rPr>
          <w:sz w:val="24"/>
          <w:szCs w:val="24"/>
        </w:rPr>
        <w:fldChar w:fldCharType="end"/>
      </w:r>
      <w:r w:rsidRPr="001347F6">
        <w:rPr>
          <w:sz w:val="24"/>
          <w:szCs w:val="24"/>
        </w:rPr>
        <w:t xml:space="preserve"> pp, 146; HRC, ’Human rights and arbitrary deprivation of nationality: Report of the Secretary-General’ (</w:t>
      </w:r>
      <w:r w:rsidRPr="001347F6">
        <w:rPr>
          <w:sz w:val="24"/>
          <w:szCs w:val="24"/>
          <w:highlight w:val="white"/>
        </w:rPr>
        <w:t>19 December 2013</w:t>
      </w:r>
      <w:r w:rsidRPr="001347F6">
        <w:rPr>
          <w:sz w:val="24"/>
          <w:szCs w:val="24"/>
        </w:rPr>
        <w:t>) UN Doc A/HRC/25/28 [‘HRC 2013’]</w:t>
      </w:r>
      <w:r w:rsidR="00911125" w:rsidRPr="001347F6">
        <w:rPr>
          <w:sz w:val="24"/>
          <w:szCs w:val="24"/>
        </w:rPr>
        <w:fldChar w:fldCharType="begin"/>
      </w:r>
      <w:r w:rsidR="00911125" w:rsidRPr="001347F6">
        <w:rPr>
          <w:sz w:val="24"/>
          <w:szCs w:val="24"/>
        </w:rPr>
        <w:instrText xml:space="preserve"> TA \l "HRC, ’Human rights and arbitrary deprivation of nationality: Report of the Secretary-General’ (</w:instrText>
      </w:r>
      <w:r w:rsidR="00911125" w:rsidRPr="001347F6">
        <w:rPr>
          <w:sz w:val="24"/>
          <w:szCs w:val="24"/>
          <w:highlight w:val="white"/>
        </w:rPr>
        <w:instrText>19 December 2013</w:instrText>
      </w:r>
      <w:r w:rsidR="00911125" w:rsidRPr="001347F6">
        <w:rPr>
          <w:sz w:val="24"/>
          <w:szCs w:val="24"/>
        </w:rPr>
        <w:instrText xml:space="preserve">) UN Doc A/HRC/25/28 [‘HRC 2013’]" \s "HRC 2013" \c 3 </w:instrText>
      </w:r>
      <w:r w:rsidR="00911125" w:rsidRPr="001347F6">
        <w:rPr>
          <w:sz w:val="24"/>
          <w:szCs w:val="24"/>
        </w:rPr>
        <w:fldChar w:fldCharType="end"/>
      </w:r>
      <w:r w:rsidRPr="001347F6">
        <w:rPr>
          <w:sz w:val="24"/>
          <w:szCs w:val="24"/>
        </w:rPr>
        <w:t xml:space="preserve"> </w:t>
      </w:r>
      <w:r w:rsidRPr="001347F6">
        <w:rPr>
          <w:sz w:val="24"/>
          <w:szCs w:val="24"/>
          <w:highlight w:val="white"/>
        </w:rPr>
        <w:t>[20]</w:t>
      </w:r>
      <w:r w:rsidRPr="001347F6">
        <w:rPr>
          <w:sz w:val="24"/>
          <w:szCs w:val="24"/>
        </w:rPr>
        <w:t>.</w:t>
      </w:r>
    </w:p>
    <w:p w14:paraId="2DE2F8AC" w14:textId="77777777" w:rsidR="001347F6" w:rsidRPr="001347F6" w:rsidRDefault="001347F6" w:rsidP="001347F6">
      <w:pPr>
        <w:widowControl/>
        <w:jc w:val="both"/>
        <w:rPr>
          <w:sz w:val="24"/>
          <w:szCs w:val="24"/>
        </w:rPr>
      </w:pPr>
    </w:p>
    <w:p w14:paraId="2BB348AB" w14:textId="77777777" w:rsidR="008C2177" w:rsidRPr="001347F6" w:rsidRDefault="008C2177" w:rsidP="001347F6">
      <w:pPr>
        <w:widowControl/>
        <w:jc w:val="both"/>
        <w:rPr>
          <w:sz w:val="24"/>
          <w:szCs w:val="24"/>
        </w:rPr>
      </w:pPr>
    </w:p>
  </w:footnote>
  <w:footnote w:id="64">
    <w:p w14:paraId="17F7A3B0" w14:textId="77777777" w:rsidR="008C2177" w:rsidRPr="001347F6" w:rsidRDefault="00000000" w:rsidP="001347F6">
      <w:pPr>
        <w:widowControl/>
        <w:jc w:val="both"/>
        <w:rPr>
          <w:sz w:val="24"/>
          <w:szCs w:val="24"/>
          <w:highlight w:val="white"/>
        </w:rPr>
      </w:pPr>
      <w:r w:rsidRPr="001347F6">
        <w:rPr>
          <w:sz w:val="24"/>
          <w:szCs w:val="24"/>
          <w:vertAlign w:val="superscript"/>
        </w:rPr>
        <w:footnoteRef/>
      </w:r>
      <w:r w:rsidRPr="001347F6">
        <w:rPr>
          <w:sz w:val="24"/>
          <w:szCs w:val="24"/>
        </w:rPr>
        <w:t xml:space="preserve"> </w:t>
      </w:r>
      <w:r w:rsidRPr="001347F6">
        <w:rPr>
          <w:sz w:val="24"/>
          <w:szCs w:val="24"/>
          <w:highlight w:val="white"/>
        </w:rPr>
        <w:t>Compromis, [30].</w:t>
      </w:r>
    </w:p>
    <w:p w14:paraId="124F4911" w14:textId="77777777" w:rsidR="008C2177" w:rsidRPr="001347F6" w:rsidRDefault="008C2177" w:rsidP="001347F6">
      <w:pPr>
        <w:widowControl/>
        <w:jc w:val="both"/>
        <w:rPr>
          <w:sz w:val="24"/>
          <w:szCs w:val="24"/>
        </w:rPr>
      </w:pPr>
    </w:p>
  </w:footnote>
  <w:footnote w:id="65">
    <w:p w14:paraId="06B2D883" w14:textId="77777777" w:rsidR="008C2177" w:rsidRPr="001347F6" w:rsidRDefault="00000000" w:rsidP="001347F6">
      <w:pPr>
        <w:widowControl/>
        <w:jc w:val="both"/>
        <w:rPr>
          <w:sz w:val="24"/>
          <w:szCs w:val="24"/>
          <w:highlight w:val="white"/>
        </w:rPr>
      </w:pPr>
      <w:r w:rsidRPr="001347F6">
        <w:rPr>
          <w:sz w:val="24"/>
          <w:szCs w:val="24"/>
          <w:vertAlign w:val="superscript"/>
        </w:rPr>
        <w:footnoteRef/>
      </w:r>
      <w:r w:rsidRPr="001347F6">
        <w:rPr>
          <w:sz w:val="24"/>
          <w:szCs w:val="24"/>
        </w:rPr>
        <w:t xml:space="preserve"> </w:t>
      </w:r>
      <w:r w:rsidRPr="001347F6">
        <w:rPr>
          <w:sz w:val="24"/>
          <w:szCs w:val="24"/>
          <w:highlight w:val="white"/>
        </w:rPr>
        <w:t>Compromis, [7], [34].</w:t>
      </w:r>
    </w:p>
    <w:p w14:paraId="1628CA12" w14:textId="77777777" w:rsidR="008C2177" w:rsidRPr="001347F6" w:rsidRDefault="008C2177" w:rsidP="001347F6">
      <w:pPr>
        <w:widowControl/>
        <w:jc w:val="both"/>
        <w:rPr>
          <w:sz w:val="24"/>
          <w:szCs w:val="24"/>
        </w:rPr>
      </w:pPr>
    </w:p>
  </w:footnote>
  <w:footnote w:id="66">
    <w:p w14:paraId="35DCDC06" w14:textId="14AC5E67"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w:t>
      </w:r>
      <w:r w:rsidRPr="001347F6">
        <w:rPr>
          <w:i/>
          <w:sz w:val="24"/>
          <w:szCs w:val="24"/>
        </w:rPr>
        <w:t>X v Udlændinge- og Integrationsministeriet</w:t>
      </w:r>
      <w:r w:rsidRPr="001347F6">
        <w:rPr>
          <w:sz w:val="24"/>
          <w:szCs w:val="24"/>
        </w:rPr>
        <w:t xml:space="preserve"> (</w:t>
      </w:r>
      <w:r w:rsidR="007D1B71">
        <w:rPr>
          <w:sz w:val="24"/>
          <w:szCs w:val="24"/>
        </w:rPr>
        <w:t>Judgment</w:t>
      </w:r>
      <w:r w:rsidRPr="001347F6">
        <w:rPr>
          <w:sz w:val="24"/>
          <w:szCs w:val="24"/>
        </w:rPr>
        <w:t>) CJEU C‑689/21 (5 September 2023)</w:t>
      </w:r>
      <w:r w:rsidR="00911125" w:rsidRPr="001347F6">
        <w:rPr>
          <w:sz w:val="24"/>
          <w:szCs w:val="24"/>
        </w:rPr>
        <w:fldChar w:fldCharType="begin"/>
      </w:r>
      <w:r w:rsidR="00911125" w:rsidRPr="001347F6">
        <w:rPr>
          <w:sz w:val="24"/>
          <w:szCs w:val="24"/>
        </w:rPr>
        <w:instrText xml:space="preserve"> TA \l "</w:instrText>
      </w:r>
      <w:r w:rsidR="00911125" w:rsidRPr="001347F6">
        <w:rPr>
          <w:i/>
          <w:sz w:val="24"/>
          <w:szCs w:val="24"/>
        </w:rPr>
        <w:instrText>X v Udlændinge- og Integrationsministeriet</w:instrText>
      </w:r>
      <w:r w:rsidR="00911125" w:rsidRPr="001347F6">
        <w:rPr>
          <w:sz w:val="24"/>
          <w:szCs w:val="24"/>
        </w:rPr>
        <w:instrText xml:space="preserve"> (Judgement) CJEU C‑689/21 (5 September 2023)" \s "X v Udlændinge- og Integrationsministeriet" \c 4 </w:instrText>
      </w:r>
      <w:r w:rsidR="00911125" w:rsidRPr="001347F6">
        <w:rPr>
          <w:sz w:val="24"/>
          <w:szCs w:val="24"/>
        </w:rPr>
        <w:fldChar w:fldCharType="end"/>
      </w:r>
      <w:r w:rsidRPr="001347F6">
        <w:rPr>
          <w:sz w:val="24"/>
          <w:szCs w:val="24"/>
        </w:rPr>
        <w:t xml:space="preserve"> [30]; </w:t>
      </w:r>
      <w:r w:rsidRPr="001347F6">
        <w:rPr>
          <w:i/>
          <w:sz w:val="24"/>
          <w:szCs w:val="24"/>
        </w:rPr>
        <w:t>Janko Rottman v Freistaat Bayern</w:t>
      </w:r>
      <w:r w:rsidRPr="001347F6">
        <w:rPr>
          <w:sz w:val="24"/>
          <w:szCs w:val="24"/>
        </w:rPr>
        <w:t xml:space="preserve"> (</w:t>
      </w:r>
      <w:r w:rsidR="007D1B71">
        <w:rPr>
          <w:sz w:val="24"/>
          <w:szCs w:val="24"/>
        </w:rPr>
        <w:t>Judgment</w:t>
      </w:r>
      <w:r w:rsidRPr="001347F6">
        <w:rPr>
          <w:sz w:val="24"/>
          <w:szCs w:val="24"/>
        </w:rPr>
        <w:t>) CJEU C-135/08 (2 March 2010) [</w:t>
      </w:r>
      <w:r w:rsidRPr="001347F6">
        <w:rPr>
          <w:i/>
          <w:sz w:val="24"/>
          <w:szCs w:val="24"/>
        </w:rPr>
        <w:t>‘Rottman v. Bayern’</w:t>
      </w:r>
      <w:r w:rsidRPr="001347F6">
        <w:rPr>
          <w:sz w:val="24"/>
          <w:szCs w:val="24"/>
        </w:rPr>
        <w:t>]</w:t>
      </w:r>
      <w:r w:rsidR="00911125" w:rsidRPr="001347F6">
        <w:rPr>
          <w:sz w:val="24"/>
          <w:szCs w:val="24"/>
        </w:rPr>
        <w:fldChar w:fldCharType="begin"/>
      </w:r>
      <w:r w:rsidR="00911125" w:rsidRPr="001347F6">
        <w:rPr>
          <w:sz w:val="24"/>
          <w:szCs w:val="24"/>
        </w:rPr>
        <w:instrText xml:space="preserve"> TA \l "</w:instrText>
      </w:r>
      <w:r w:rsidR="00911125" w:rsidRPr="001347F6">
        <w:rPr>
          <w:i/>
          <w:sz w:val="24"/>
          <w:szCs w:val="24"/>
        </w:rPr>
        <w:instrText>Janko Rottman v Freistaat Bayern</w:instrText>
      </w:r>
      <w:r w:rsidR="00911125" w:rsidRPr="001347F6">
        <w:rPr>
          <w:sz w:val="24"/>
          <w:szCs w:val="24"/>
        </w:rPr>
        <w:instrText xml:space="preserve"> (Judgement) CJEU C-135/08 (2 March 2010) [</w:instrText>
      </w:r>
      <w:r w:rsidR="00911125" w:rsidRPr="001347F6">
        <w:rPr>
          <w:i/>
          <w:sz w:val="24"/>
          <w:szCs w:val="24"/>
        </w:rPr>
        <w:instrText>‘Rottman v. Bayern’</w:instrText>
      </w:r>
      <w:r w:rsidR="00911125" w:rsidRPr="001347F6">
        <w:rPr>
          <w:sz w:val="24"/>
          <w:szCs w:val="24"/>
        </w:rPr>
        <w:instrText xml:space="preserve">]" \s "Rottman v. Bayern" \c 4 </w:instrText>
      </w:r>
      <w:r w:rsidR="00911125" w:rsidRPr="001347F6">
        <w:rPr>
          <w:sz w:val="24"/>
          <w:szCs w:val="24"/>
        </w:rPr>
        <w:fldChar w:fldCharType="end"/>
      </w:r>
      <w:r w:rsidRPr="001347F6">
        <w:rPr>
          <w:sz w:val="24"/>
          <w:szCs w:val="24"/>
        </w:rPr>
        <w:t xml:space="preserve"> [55</w:t>
      </w:r>
      <w:r w:rsidR="00152651" w:rsidRPr="001347F6">
        <w:rPr>
          <w:sz w:val="24"/>
          <w:szCs w:val="24"/>
        </w:rPr>
        <w:t>].</w:t>
      </w:r>
      <w:r w:rsidRPr="001347F6">
        <w:rPr>
          <w:sz w:val="24"/>
          <w:szCs w:val="24"/>
        </w:rPr>
        <w:t xml:space="preserve"> </w:t>
      </w:r>
    </w:p>
    <w:p w14:paraId="74F19098" w14:textId="77777777" w:rsidR="008C2177" w:rsidRPr="001347F6" w:rsidRDefault="008C2177" w:rsidP="001347F6">
      <w:pPr>
        <w:widowControl/>
        <w:jc w:val="both"/>
        <w:rPr>
          <w:sz w:val="24"/>
          <w:szCs w:val="24"/>
        </w:rPr>
      </w:pPr>
    </w:p>
  </w:footnote>
  <w:footnote w:id="67">
    <w:p w14:paraId="7244FCD2" w14:textId="6D92C5D4"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w:t>
      </w:r>
      <w:r w:rsidRPr="001347F6">
        <w:rPr>
          <w:i/>
          <w:iCs/>
          <w:sz w:val="24"/>
          <w:szCs w:val="24"/>
        </w:rPr>
        <w:t>Memorial</w:t>
      </w:r>
      <w:r w:rsidRPr="001347F6">
        <w:rPr>
          <w:sz w:val="24"/>
          <w:szCs w:val="24"/>
        </w:rPr>
        <w:t>, II</w:t>
      </w:r>
      <w:r w:rsidR="004C713D" w:rsidRPr="001347F6">
        <w:rPr>
          <w:sz w:val="24"/>
          <w:szCs w:val="24"/>
        </w:rPr>
        <w:t>.</w:t>
      </w:r>
      <w:r w:rsidRPr="001347F6">
        <w:rPr>
          <w:sz w:val="24"/>
          <w:szCs w:val="24"/>
        </w:rPr>
        <w:t xml:space="preserve">A(1)(b). </w:t>
      </w:r>
    </w:p>
    <w:p w14:paraId="5BA3E9D1" w14:textId="77777777" w:rsidR="008C2177" w:rsidRPr="001347F6" w:rsidRDefault="008C2177" w:rsidP="001347F6">
      <w:pPr>
        <w:widowControl/>
        <w:jc w:val="both"/>
        <w:rPr>
          <w:sz w:val="24"/>
          <w:szCs w:val="24"/>
        </w:rPr>
      </w:pPr>
    </w:p>
  </w:footnote>
  <w:footnote w:id="68">
    <w:p w14:paraId="3A4DD590" w14:textId="46CABE52"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w:t>
      </w:r>
      <w:r w:rsidRPr="001347F6">
        <w:rPr>
          <w:i/>
          <w:sz w:val="24"/>
          <w:szCs w:val="24"/>
        </w:rPr>
        <w:t>Tjebbes and Others v Minister van Buitenlandse Zaken</w:t>
      </w:r>
      <w:r w:rsidRPr="001347F6">
        <w:rPr>
          <w:sz w:val="24"/>
          <w:szCs w:val="24"/>
        </w:rPr>
        <w:t xml:space="preserve"> (</w:t>
      </w:r>
      <w:r w:rsidR="007D1B71">
        <w:rPr>
          <w:sz w:val="24"/>
          <w:szCs w:val="24"/>
        </w:rPr>
        <w:t>Judgment</w:t>
      </w:r>
      <w:r w:rsidRPr="001347F6">
        <w:rPr>
          <w:sz w:val="24"/>
          <w:szCs w:val="24"/>
        </w:rPr>
        <w:t>) CJEU C-221/17 (12 March 2019)</w:t>
      </w:r>
      <w:r w:rsidR="00911125" w:rsidRPr="001347F6">
        <w:rPr>
          <w:sz w:val="24"/>
          <w:szCs w:val="24"/>
        </w:rPr>
        <w:fldChar w:fldCharType="begin"/>
      </w:r>
      <w:r w:rsidR="00911125" w:rsidRPr="001347F6">
        <w:rPr>
          <w:sz w:val="24"/>
          <w:szCs w:val="24"/>
        </w:rPr>
        <w:instrText xml:space="preserve"> TA \l "</w:instrText>
      </w:r>
      <w:r w:rsidR="00911125" w:rsidRPr="001347F6">
        <w:rPr>
          <w:i/>
          <w:sz w:val="24"/>
          <w:szCs w:val="24"/>
        </w:rPr>
        <w:instrText>Tjebbes and Others v Minister van Buitenlandse Zaken</w:instrText>
      </w:r>
      <w:r w:rsidR="00911125" w:rsidRPr="001347F6">
        <w:rPr>
          <w:sz w:val="24"/>
          <w:szCs w:val="24"/>
        </w:rPr>
        <w:instrText xml:space="preserve"> (Judgement) CJEU C-221/17 (12 March 2019)" \s "Tjebbes and Others v Minister van Buitenlandse Zaken" \c 4 </w:instrText>
      </w:r>
      <w:r w:rsidR="00911125" w:rsidRPr="001347F6">
        <w:rPr>
          <w:sz w:val="24"/>
          <w:szCs w:val="24"/>
        </w:rPr>
        <w:fldChar w:fldCharType="end"/>
      </w:r>
      <w:r w:rsidRPr="001347F6">
        <w:rPr>
          <w:sz w:val="24"/>
          <w:szCs w:val="24"/>
        </w:rPr>
        <w:t xml:space="preserve"> [40]; </w:t>
      </w:r>
      <w:r w:rsidRPr="001347F6">
        <w:rPr>
          <w:i/>
          <w:sz w:val="24"/>
          <w:szCs w:val="24"/>
        </w:rPr>
        <w:t>Anudo v Tanzania</w:t>
      </w:r>
      <w:r w:rsidRPr="001347F6">
        <w:rPr>
          <w:sz w:val="24"/>
          <w:szCs w:val="24"/>
        </w:rPr>
        <w:t xml:space="preserve"> (</w:t>
      </w:r>
      <w:r w:rsidR="007D1B71">
        <w:rPr>
          <w:sz w:val="24"/>
          <w:szCs w:val="24"/>
        </w:rPr>
        <w:t>Judgment</w:t>
      </w:r>
      <w:r w:rsidRPr="001347F6">
        <w:rPr>
          <w:sz w:val="24"/>
          <w:szCs w:val="24"/>
        </w:rPr>
        <w:t xml:space="preserve">) ACtHPR App. No. 012/2015 </w:t>
      </w:r>
      <w:r w:rsidRPr="001347F6">
        <w:rPr>
          <w:sz w:val="24"/>
          <w:szCs w:val="24"/>
          <w:highlight w:val="white"/>
        </w:rPr>
        <w:t>(22 March 2018)</w:t>
      </w:r>
      <w:r w:rsidR="00911125" w:rsidRPr="001347F6">
        <w:rPr>
          <w:sz w:val="24"/>
          <w:szCs w:val="24"/>
          <w:highlight w:val="white"/>
        </w:rPr>
        <w:fldChar w:fldCharType="begin"/>
      </w:r>
      <w:r w:rsidR="00911125" w:rsidRPr="001347F6">
        <w:rPr>
          <w:sz w:val="24"/>
          <w:szCs w:val="24"/>
        </w:rPr>
        <w:instrText xml:space="preserve"> TA \l "</w:instrText>
      </w:r>
      <w:r w:rsidR="00911125" w:rsidRPr="001347F6">
        <w:rPr>
          <w:i/>
          <w:sz w:val="24"/>
          <w:szCs w:val="24"/>
        </w:rPr>
        <w:instrText>Anudo v Tanzania</w:instrText>
      </w:r>
      <w:r w:rsidR="00911125" w:rsidRPr="001347F6">
        <w:rPr>
          <w:sz w:val="24"/>
          <w:szCs w:val="24"/>
        </w:rPr>
        <w:instrText xml:space="preserve"> (Judgement) ACtHPR App. No. 012/2015 </w:instrText>
      </w:r>
      <w:r w:rsidR="00911125" w:rsidRPr="001347F6">
        <w:rPr>
          <w:sz w:val="24"/>
          <w:szCs w:val="24"/>
          <w:highlight w:val="white"/>
        </w:rPr>
        <w:instrText>(22 March 2018)</w:instrText>
      </w:r>
      <w:r w:rsidR="00911125" w:rsidRPr="001347F6">
        <w:rPr>
          <w:sz w:val="24"/>
          <w:szCs w:val="24"/>
        </w:rPr>
        <w:instrText xml:space="preserve">" \s "Anudo v Tanzania" \c 4 </w:instrText>
      </w:r>
      <w:r w:rsidR="00911125" w:rsidRPr="001347F6">
        <w:rPr>
          <w:sz w:val="24"/>
          <w:szCs w:val="24"/>
          <w:highlight w:val="white"/>
        </w:rPr>
        <w:fldChar w:fldCharType="end"/>
      </w:r>
      <w:r w:rsidRPr="001347F6">
        <w:rPr>
          <w:sz w:val="24"/>
          <w:szCs w:val="24"/>
        </w:rPr>
        <w:t xml:space="preserve"> [79].</w:t>
      </w:r>
    </w:p>
    <w:p w14:paraId="5706B899" w14:textId="77777777" w:rsidR="008C2177" w:rsidRPr="001347F6" w:rsidRDefault="008C2177" w:rsidP="001347F6">
      <w:pPr>
        <w:widowControl/>
        <w:jc w:val="both"/>
        <w:rPr>
          <w:sz w:val="24"/>
          <w:szCs w:val="24"/>
        </w:rPr>
      </w:pPr>
    </w:p>
  </w:footnote>
  <w:footnote w:id="69">
    <w:p w14:paraId="37E4A3C5" w14:textId="420AE6FC"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ISI, ‘Commentary To The Principles On Deprivation Of Nationality As A National Security Measure’ </w:t>
      </w:r>
      <w:r w:rsidRPr="001347F6">
        <w:rPr>
          <w:sz w:val="24"/>
          <w:szCs w:val="24"/>
          <w:highlight w:val="white"/>
        </w:rPr>
        <w:t>(2022)</w:t>
      </w:r>
      <w:r w:rsidR="00911125" w:rsidRPr="001347F6">
        <w:rPr>
          <w:sz w:val="24"/>
          <w:szCs w:val="24"/>
          <w:highlight w:val="white"/>
        </w:rPr>
        <w:fldChar w:fldCharType="begin"/>
      </w:r>
      <w:r w:rsidR="00911125" w:rsidRPr="001347F6">
        <w:rPr>
          <w:sz w:val="24"/>
          <w:szCs w:val="24"/>
        </w:rPr>
        <w:instrText xml:space="preserve"> TA \l "ISI, ‘Commentary To The Principles On Deprivation Of Nationality As A National Security Measure’ </w:instrText>
      </w:r>
      <w:r w:rsidR="00911125" w:rsidRPr="001347F6">
        <w:rPr>
          <w:sz w:val="24"/>
          <w:szCs w:val="24"/>
          <w:highlight w:val="white"/>
        </w:rPr>
        <w:instrText>(2022)</w:instrText>
      </w:r>
      <w:r w:rsidR="00911125" w:rsidRPr="001347F6">
        <w:rPr>
          <w:sz w:val="24"/>
          <w:szCs w:val="24"/>
        </w:rPr>
        <w:instrText xml:space="preserve">" \s "ISI, ‘Commentary To The Principles On Deprivation Of Nationality As A National Security Measure’ (2022)" \c 7 </w:instrText>
      </w:r>
      <w:r w:rsidR="00911125" w:rsidRPr="001347F6">
        <w:rPr>
          <w:sz w:val="24"/>
          <w:szCs w:val="24"/>
          <w:highlight w:val="white"/>
        </w:rPr>
        <w:fldChar w:fldCharType="end"/>
      </w:r>
      <w:r w:rsidRPr="001347F6">
        <w:rPr>
          <w:sz w:val="24"/>
          <w:szCs w:val="24"/>
          <w:highlight w:val="white"/>
        </w:rPr>
        <w:t xml:space="preserve"> [112]; </w:t>
      </w:r>
      <w:r w:rsidRPr="001347F6">
        <w:rPr>
          <w:sz w:val="24"/>
          <w:szCs w:val="24"/>
        </w:rPr>
        <w:t>UNHCR Tunis Conclusions</w:t>
      </w:r>
      <w:r w:rsidR="00DC64B4" w:rsidRPr="001347F6">
        <w:rPr>
          <w:sz w:val="24"/>
          <w:szCs w:val="24"/>
        </w:rPr>
        <w:fldChar w:fldCharType="begin"/>
      </w:r>
      <w:r w:rsidR="00DC64B4" w:rsidRPr="001347F6">
        <w:rPr>
          <w:sz w:val="24"/>
          <w:szCs w:val="24"/>
        </w:rPr>
        <w:instrText xml:space="preserve"> TA \s "UNHCR Tunis Conclusions" </w:instrText>
      </w:r>
      <w:r w:rsidR="00DC64B4" w:rsidRPr="001347F6">
        <w:rPr>
          <w:sz w:val="24"/>
          <w:szCs w:val="24"/>
        </w:rPr>
        <w:fldChar w:fldCharType="end"/>
      </w:r>
      <w:r w:rsidRPr="001347F6">
        <w:rPr>
          <w:sz w:val="24"/>
          <w:szCs w:val="24"/>
        </w:rPr>
        <w:t xml:space="preserve">, [19]-[20]; </w:t>
      </w:r>
      <w:r w:rsidRPr="001347F6">
        <w:rPr>
          <w:sz w:val="24"/>
          <w:szCs w:val="24"/>
          <w:highlight w:val="white"/>
        </w:rPr>
        <w:t>UNHCR Guidelines No. 5</w:t>
      </w:r>
      <w:r w:rsidR="008A3D5E" w:rsidRPr="001347F6">
        <w:rPr>
          <w:sz w:val="24"/>
          <w:szCs w:val="24"/>
          <w:highlight w:val="white"/>
        </w:rPr>
        <w:fldChar w:fldCharType="begin"/>
      </w:r>
      <w:r w:rsidR="008A3D5E" w:rsidRPr="001347F6">
        <w:rPr>
          <w:sz w:val="24"/>
          <w:szCs w:val="24"/>
          <w:highlight w:val="white"/>
        </w:rPr>
        <w:instrText xml:space="preserve"> TA \s "UNHCR Guidelines No. 5" </w:instrText>
      </w:r>
      <w:r w:rsidR="008A3D5E" w:rsidRPr="001347F6">
        <w:rPr>
          <w:sz w:val="24"/>
          <w:szCs w:val="24"/>
          <w:highlight w:val="white"/>
        </w:rPr>
        <w:fldChar w:fldCharType="end"/>
      </w:r>
      <w:r w:rsidRPr="001347F6">
        <w:rPr>
          <w:sz w:val="24"/>
          <w:szCs w:val="24"/>
          <w:highlight w:val="white"/>
        </w:rPr>
        <w:t>, [95]</w:t>
      </w:r>
      <w:r w:rsidRPr="001347F6">
        <w:rPr>
          <w:sz w:val="24"/>
          <w:szCs w:val="24"/>
        </w:rPr>
        <w:t>.</w:t>
      </w:r>
    </w:p>
    <w:p w14:paraId="596B7C67" w14:textId="77777777" w:rsidR="008C2177" w:rsidRPr="001347F6" w:rsidRDefault="00000000" w:rsidP="001347F6">
      <w:pPr>
        <w:widowControl/>
        <w:jc w:val="both"/>
        <w:rPr>
          <w:sz w:val="24"/>
          <w:szCs w:val="24"/>
        </w:rPr>
      </w:pPr>
      <w:r w:rsidRPr="001347F6">
        <w:rPr>
          <w:sz w:val="24"/>
          <w:szCs w:val="24"/>
        </w:rPr>
        <w:t xml:space="preserve"> </w:t>
      </w:r>
    </w:p>
  </w:footnote>
  <w:footnote w:id="70">
    <w:p w14:paraId="0B907255" w14:textId="56B32A0C" w:rsidR="008C2177"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w:t>
      </w:r>
      <w:r w:rsidRPr="001347F6">
        <w:rPr>
          <w:i/>
          <w:sz w:val="24"/>
          <w:szCs w:val="24"/>
        </w:rPr>
        <w:t>Case of Chaparro Álvarez and Lapo Íñiguez v. Ecuador</w:t>
      </w:r>
      <w:r w:rsidRPr="001347F6">
        <w:rPr>
          <w:sz w:val="24"/>
          <w:szCs w:val="24"/>
        </w:rPr>
        <w:t xml:space="preserve"> (Preliminary Objection, Merits, Reparations and Costs) IACtHR Series C No 189 (21 November 2007)</w:t>
      </w:r>
      <w:r w:rsidR="00911125" w:rsidRPr="001347F6">
        <w:rPr>
          <w:sz w:val="24"/>
          <w:szCs w:val="24"/>
        </w:rPr>
        <w:fldChar w:fldCharType="begin"/>
      </w:r>
      <w:r w:rsidR="00911125" w:rsidRPr="001347F6">
        <w:rPr>
          <w:sz w:val="24"/>
          <w:szCs w:val="24"/>
        </w:rPr>
        <w:instrText xml:space="preserve"> TA \l "</w:instrText>
      </w:r>
      <w:r w:rsidR="00911125" w:rsidRPr="001347F6">
        <w:rPr>
          <w:i/>
          <w:sz w:val="24"/>
          <w:szCs w:val="24"/>
        </w:rPr>
        <w:instrText>Case of Chaparro Álvarez and Lapo Íñiguez v. Ecuador</w:instrText>
      </w:r>
      <w:r w:rsidR="00911125" w:rsidRPr="001347F6">
        <w:rPr>
          <w:sz w:val="24"/>
          <w:szCs w:val="24"/>
        </w:rPr>
        <w:instrText xml:space="preserve"> (Preliminary Objection, Merits, Reparations and Costs) IACtHR Series C No 189 (21 November 2007)" \s "Case of Chaparro Álvarez and Lapo Íñiguez v. Ecuador" \c 4 </w:instrText>
      </w:r>
      <w:r w:rsidR="00911125" w:rsidRPr="001347F6">
        <w:rPr>
          <w:sz w:val="24"/>
          <w:szCs w:val="24"/>
        </w:rPr>
        <w:fldChar w:fldCharType="end"/>
      </w:r>
      <w:r w:rsidRPr="001347F6">
        <w:rPr>
          <w:sz w:val="24"/>
          <w:szCs w:val="24"/>
        </w:rPr>
        <w:t xml:space="preserve"> [93]; HRC, ‘Human rights and arbitrary deprivation of nationality: Report of the Secretary-General’ (14 December 2009) UN Doc A/HRC/13/34 [‘HRC 2009’]</w:t>
      </w:r>
      <w:r w:rsidR="00911125" w:rsidRPr="001347F6">
        <w:rPr>
          <w:sz w:val="24"/>
          <w:szCs w:val="24"/>
        </w:rPr>
        <w:fldChar w:fldCharType="begin"/>
      </w:r>
      <w:r w:rsidR="00911125" w:rsidRPr="001347F6">
        <w:rPr>
          <w:sz w:val="24"/>
          <w:szCs w:val="24"/>
        </w:rPr>
        <w:instrText xml:space="preserve"> TA \l "HRC, ‘Human rights and arbitrary deprivation of nationality: Report of the Secretary-General’ (14 December 2009) UN Doc A/HRC/13/34 [‘HRC 2009’]" \s "HRC 2009" \c 3 </w:instrText>
      </w:r>
      <w:r w:rsidR="00911125" w:rsidRPr="001347F6">
        <w:rPr>
          <w:sz w:val="24"/>
          <w:szCs w:val="24"/>
        </w:rPr>
        <w:fldChar w:fldCharType="end"/>
      </w:r>
      <w:r w:rsidRPr="001347F6">
        <w:rPr>
          <w:sz w:val="24"/>
          <w:szCs w:val="24"/>
        </w:rPr>
        <w:t xml:space="preserve"> </w:t>
      </w:r>
      <w:r w:rsidRPr="001347F6">
        <w:rPr>
          <w:sz w:val="24"/>
          <w:szCs w:val="24"/>
          <w:highlight w:val="white"/>
        </w:rPr>
        <w:t>[25]</w:t>
      </w:r>
      <w:r w:rsidRPr="001347F6">
        <w:rPr>
          <w:sz w:val="24"/>
          <w:szCs w:val="24"/>
        </w:rPr>
        <w:t>.</w:t>
      </w:r>
    </w:p>
    <w:p w14:paraId="52902C72" w14:textId="77777777" w:rsidR="001347F6" w:rsidRPr="001347F6" w:rsidRDefault="001347F6" w:rsidP="001347F6">
      <w:pPr>
        <w:widowControl/>
        <w:jc w:val="both"/>
        <w:rPr>
          <w:sz w:val="24"/>
          <w:szCs w:val="24"/>
        </w:rPr>
      </w:pPr>
    </w:p>
    <w:p w14:paraId="3F7EE478" w14:textId="77777777" w:rsidR="008C2177" w:rsidRPr="001347F6" w:rsidRDefault="008C2177" w:rsidP="001347F6">
      <w:pPr>
        <w:widowControl/>
        <w:jc w:val="both"/>
        <w:rPr>
          <w:sz w:val="24"/>
          <w:szCs w:val="24"/>
        </w:rPr>
      </w:pPr>
    </w:p>
  </w:footnote>
  <w:footnote w:id="71">
    <w:p w14:paraId="020FB547" w14:textId="6917A118" w:rsidR="008C2177" w:rsidRPr="001347F6" w:rsidRDefault="00000000" w:rsidP="001347F6">
      <w:pPr>
        <w:widowControl/>
        <w:jc w:val="both"/>
        <w:rPr>
          <w:i/>
          <w:sz w:val="24"/>
          <w:szCs w:val="24"/>
          <w:shd w:val="clear" w:color="auto" w:fill="F9CB9C"/>
        </w:rPr>
      </w:pPr>
      <w:r w:rsidRPr="001347F6">
        <w:rPr>
          <w:sz w:val="24"/>
          <w:szCs w:val="24"/>
          <w:vertAlign w:val="superscript"/>
        </w:rPr>
        <w:footnoteRef/>
      </w:r>
      <w:r w:rsidRPr="001347F6">
        <w:rPr>
          <w:sz w:val="24"/>
          <w:szCs w:val="24"/>
        </w:rPr>
        <w:t xml:space="preserve"> </w:t>
      </w:r>
      <w:r w:rsidRPr="001347F6">
        <w:rPr>
          <w:i/>
          <w:sz w:val="24"/>
          <w:szCs w:val="24"/>
        </w:rPr>
        <w:t>Case of Usón Ramírez v. Venezuela</w:t>
      </w:r>
      <w:r w:rsidRPr="001347F6">
        <w:rPr>
          <w:sz w:val="24"/>
          <w:szCs w:val="24"/>
        </w:rPr>
        <w:t xml:space="preserve"> (Preliminary Objection, Merits, Reparations and Costs) IACtHR Series C No. 207 (20 November 2009)</w:t>
      </w:r>
      <w:r w:rsidR="00911125" w:rsidRPr="001347F6">
        <w:rPr>
          <w:sz w:val="24"/>
          <w:szCs w:val="24"/>
        </w:rPr>
        <w:fldChar w:fldCharType="begin"/>
      </w:r>
      <w:r w:rsidR="00911125" w:rsidRPr="001347F6">
        <w:rPr>
          <w:sz w:val="24"/>
          <w:szCs w:val="24"/>
        </w:rPr>
        <w:instrText xml:space="preserve"> TA \l "</w:instrText>
      </w:r>
      <w:r w:rsidR="00911125" w:rsidRPr="001347F6">
        <w:rPr>
          <w:i/>
          <w:sz w:val="24"/>
          <w:szCs w:val="24"/>
        </w:rPr>
        <w:instrText>Case of Usón Ramírez v. Venezuela</w:instrText>
      </w:r>
      <w:r w:rsidR="00911125" w:rsidRPr="001347F6">
        <w:rPr>
          <w:sz w:val="24"/>
          <w:szCs w:val="24"/>
        </w:rPr>
        <w:instrText xml:space="preserve"> (Preliminary Objection, Merits, Reparations and Costs) IACtHR Series C No. 207 (20 November 2009)" \s "Case of Usón Ramírez v. Venezuela" \c 4 </w:instrText>
      </w:r>
      <w:r w:rsidR="00911125" w:rsidRPr="001347F6">
        <w:rPr>
          <w:sz w:val="24"/>
          <w:szCs w:val="24"/>
        </w:rPr>
        <w:fldChar w:fldCharType="end"/>
      </w:r>
      <w:r w:rsidRPr="001347F6">
        <w:rPr>
          <w:sz w:val="24"/>
          <w:szCs w:val="24"/>
        </w:rPr>
        <w:t xml:space="preserve"> [72]; </w:t>
      </w:r>
      <w:r w:rsidRPr="001347F6">
        <w:rPr>
          <w:sz w:val="24"/>
          <w:szCs w:val="24"/>
          <w:highlight w:val="white"/>
        </w:rPr>
        <w:t>UNHCR Guidelines No. 5</w:t>
      </w:r>
      <w:r w:rsidR="008A3D5E" w:rsidRPr="001347F6">
        <w:rPr>
          <w:sz w:val="24"/>
          <w:szCs w:val="24"/>
          <w:highlight w:val="white"/>
        </w:rPr>
        <w:fldChar w:fldCharType="begin"/>
      </w:r>
      <w:r w:rsidR="008A3D5E" w:rsidRPr="001347F6">
        <w:rPr>
          <w:sz w:val="24"/>
          <w:szCs w:val="24"/>
          <w:highlight w:val="white"/>
        </w:rPr>
        <w:instrText xml:space="preserve"> TA \s "UNHCR Guidelines No. 5" </w:instrText>
      </w:r>
      <w:r w:rsidR="008A3D5E" w:rsidRPr="001347F6">
        <w:rPr>
          <w:sz w:val="24"/>
          <w:szCs w:val="24"/>
          <w:highlight w:val="white"/>
        </w:rPr>
        <w:fldChar w:fldCharType="end"/>
      </w:r>
      <w:r w:rsidRPr="001347F6">
        <w:rPr>
          <w:sz w:val="24"/>
          <w:szCs w:val="24"/>
          <w:highlight w:val="white"/>
        </w:rPr>
        <w:t>, [62]</w:t>
      </w:r>
      <w:r w:rsidRPr="001347F6">
        <w:rPr>
          <w:sz w:val="24"/>
          <w:szCs w:val="24"/>
        </w:rPr>
        <w:t>.</w:t>
      </w:r>
    </w:p>
    <w:p w14:paraId="2FAA0490" w14:textId="77777777" w:rsidR="008C2177" w:rsidRPr="001347F6" w:rsidRDefault="008C2177" w:rsidP="001347F6">
      <w:pPr>
        <w:widowControl/>
        <w:jc w:val="both"/>
        <w:rPr>
          <w:sz w:val="24"/>
          <w:szCs w:val="24"/>
        </w:rPr>
      </w:pPr>
    </w:p>
  </w:footnote>
  <w:footnote w:id="72">
    <w:p w14:paraId="287DE2C1" w14:textId="52DFA6EF" w:rsidR="008C2177" w:rsidRPr="001347F6" w:rsidRDefault="00000000" w:rsidP="001347F6">
      <w:pPr>
        <w:widowControl/>
        <w:jc w:val="both"/>
        <w:rPr>
          <w:sz w:val="24"/>
          <w:szCs w:val="24"/>
          <w:lang w:val="es-CO"/>
        </w:rPr>
      </w:pPr>
      <w:r w:rsidRPr="001347F6">
        <w:rPr>
          <w:sz w:val="24"/>
          <w:szCs w:val="24"/>
          <w:vertAlign w:val="superscript"/>
        </w:rPr>
        <w:footnoteRef/>
      </w:r>
      <w:r w:rsidRPr="001347F6">
        <w:rPr>
          <w:sz w:val="24"/>
          <w:szCs w:val="24"/>
          <w:lang w:val="es-CO"/>
        </w:rPr>
        <w:t xml:space="preserve"> </w:t>
      </w:r>
      <w:r w:rsidRPr="001347F6">
        <w:rPr>
          <w:i/>
          <w:iCs/>
          <w:sz w:val="24"/>
          <w:szCs w:val="24"/>
          <w:lang w:val="es-CO"/>
        </w:rPr>
        <w:t>Memorial</w:t>
      </w:r>
      <w:r w:rsidRPr="001347F6">
        <w:rPr>
          <w:sz w:val="24"/>
          <w:szCs w:val="24"/>
          <w:lang w:val="es-CO"/>
        </w:rPr>
        <w:t>, II</w:t>
      </w:r>
      <w:r w:rsidR="004C713D" w:rsidRPr="001347F6">
        <w:rPr>
          <w:sz w:val="24"/>
          <w:szCs w:val="24"/>
          <w:lang w:val="es-CO"/>
        </w:rPr>
        <w:t>.</w:t>
      </w:r>
      <w:r w:rsidRPr="001347F6">
        <w:rPr>
          <w:sz w:val="24"/>
          <w:szCs w:val="24"/>
          <w:lang w:val="es-CO"/>
        </w:rPr>
        <w:t>A(1)(b).</w:t>
      </w:r>
    </w:p>
    <w:p w14:paraId="0070D9D0" w14:textId="77777777" w:rsidR="008C2177" w:rsidRPr="001347F6" w:rsidRDefault="008C2177" w:rsidP="001347F6">
      <w:pPr>
        <w:widowControl/>
        <w:jc w:val="both"/>
        <w:rPr>
          <w:sz w:val="24"/>
          <w:szCs w:val="24"/>
          <w:lang w:val="es-CO"/>
        </w:rPr>
      </w:pPr>
    </w:p>
  </w:footnote>
  <w:footnote w:id="73">
    <w:p w14:paraId="0460AFEC" w14:textId="77777777" w:rsidR="008C2177" w:rsidRPr="001347F6" w:rsidRDefault="00000000" w:rsidP="001347F6">
      <w:pPr>
        <w:widowControl/>
        <w:jc w:val="both"/>
        <w:rPr>
          <w:sz w:val="24"/>
          <w:szCs w:val="24"/>
          <w:lang w:val="es-CO"/>
        </w:rPr>
      </w:pPr>
      <w:r w:rsidRPr="001347F6">
        <w:rPr>
          <w:sz w:val="24"/>
          <w:szCs w:val="24"/>
          <w:vertAlign w:val="superscript"/>
        </w:rPr>
        <w:footnoteRef/>
      </w:r>
      <w:r w:rsidRPr="001347F6">
        <w:rPr>
          <w:sz w:val="24"/>
          <w:szCs w:val="24"/>
          <w:lang w:val="es-CO"/>
        </w:rPr>
        <w:t xml:space="preserve"> Compromis, [34].</w:t>
      </w:r>
    </w:p>
    <w:p w14:paraId="0C499C6C" w14:textId="77777777" w:rsidR="008C2177" w:rsidRPr="001347F6" w:rsidRDefault="008C2177" w:rsidP="001347F6">
      <w:pPr>
        <w:widowControl/>
        <w:jc w:val="both"/>
        <w:rPr>
          <w:sz w:val="24"/>
          <w:szCs w:val="24"/>
          <w:lang w:val="es-CO"/>
        </w:rPr>
      </w:pPr>
    </w:p>
  </w:footnote>
  <w:footnote w:id="74">
    <w:p w14:paraId="7F02963B" w14:textId="7BBD4FCD"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w:t>
      </w:r>
      <w:r w:rsidRPr="001347F6">
        <w:rPr>
          <w:i/>
          <w:sz w:val="24"/>
          <w:szCs w:val="24"/>
        </w:rPr>
        <w:t>IACtHR</w:t>
      </w:r>
      <w:r w:rsidRPr="001347F6">
        <w:rPr>
          <w:sz w:val="24"/>
          <w:szCs w:val="24"/>
        </w:rPr>
        <w:t xml:space="preserve"> </w:t>
      </w:r>
      <w:r w:rsidRPr="001347F6">
        <w:rPr>
          <w:i/>
          <w:sz w:val="24"/>
          <w:szCs w:val="24"/>
          <w:highlight w:val="white"/>
        </w:rPr>
        <w:t>OC-4/84</w:t>
      </w:r>
      <w:r w:rsidR="0008059B" w:rsidRPr="001347F6">
        <w:rPr>
          <w:i/>
          <w:sz w:val="24"/>
          <w:szCs w:val="24"/>
          <w:highlight w:val="white"/>
        </w:rPr>
        <w:fldChar w:fldCharType="begin"/>
      </w:r>
      <w:r w:rsidR="0008059B" w:rsidRPr="001347F6">
        <w:rPr>
          <w:i/>
          <w:sz w:val="24"/>
          <w:szCs w:val="24"/>
          <w:highlight w:val="white"/>
        </w:rPr>
        <w:instrText xml:space="preserve"> TA \s "IACtHR OC-4/84" </w:instrText>
      </w:r>
      <w:r w:rsidR="0008059B" w:rsidRPr="001347F6">
        <w:rPr>
          <w:i/>
          <w:sz w:val="24"/>
          <w:szCs w:val="24"/>
          <w:highlight w:val="white"/>
        </w:rPr>
        <w:fldChar w:fldCharType="end"/>
      </w:r>
      <w:r w:rsidRPr="001347F6">
        <w:rPr>
          <w:sz w:val="24"/>
          <w:szCs w:val="24"/>
          <w:highlight w:val="white"/>
        </w:rPr>
        <w:t xml:space="preserve">, </w:t>
      </w:r>
      <w:r w:rsidRPr="001347F6">
        <w:rPr>
          <w:sz w:val="24"/>
          <w:szCs w:val="24"/>
        </w:rPr>
        <w:t>[56].</w:t>
      </w:r>
    </w:p>
    <w:p w14:paraId="214A62CF" w14:textId="77777777" w:rsidR="008C2177" w:rsidRPr="001347F6" w:rsidRDefault="008C2177" w:rsidP="001347F6">
      <w:pPr>
        <w:widowControl/>
        <w:jc w:val="both"/>
        <w:rPr>
          <w:sz w:val="24"/>
          <w:szCs w:val="24"/>
        </w:rPr>
      </w:pPr>
    </w:p>
  </w:footnote>
  <w:footnote w:id="75">
    <w:p w14:paraId="3DBD512D" w14:textId="77777777"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Compromis, [34].</w:t>
      </w:r>
    </w:p>
    <w:p w14:paraId="22E00B1C" w14:textId="77777777" w:rsidR="008C2177" w:rsidRPr="001347F6" w:rsidRDefault="008C2177" w:rsidP="001347F6">
      <w:pPr>
        <w:widowControl/>
        <w:jc w:val="both"/>
        <w:rPr>
          <w:sz w:val="24"/>
          <w:szCs w:val="24"/>
        </w:rPr>
      </w:pPr>
    </w:p>
  </w:footnote>
  <w:footnote w:id="76">
    <w:p w14:paraId="0816E9E5" w14:textId="17F12117"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CRS</w:t>
      </w:r>
      <w:r w:rsidR="00150089" w:rsidRPr="001347F6">
        <w:rPr>
          <w:i/>
          <w:sz w:val="24"/>
          <w:szCs w:val="24"/>
        </w:rPr>
        <w:t>,</w:t>
      </w:r>
      <w:r w:rsidR="000E212C" w:rsidRPr="001347F6">
        <w:rPr>
          <w:i/>
          <w:sz w:val="24"/>
          <w:szCs w:val="24"/>
        </w:rPr>
        <w:fldChar w:fldCharType="begin"/>
      </w:r>
      <w:r w:rsidR="000E212C" w:rsidRPr="001347F6">
        <w:rPr>
          <w:i/>
          <w:sz w:val="24"/>
          <w:szCs w:val="24"/>
        </w:rPr>
        <w:instrText xml:space="preserve"> TA \s "CRS," </w:instrText>
      </w:r>
      <w:r w:rsidR="000E212C" w:rsidRPr="001347F6">
        <w:rPr>
          <w:i/>
          <w:sz w:val="24"/>
          <w:szCs w:val="24"/>
        </w:rPr>
        <w:fldChar w:fldCharType="end"/>
      </w:r>
      <w:r w:rsidRPr="001347F6">
        <w:rPr>
          <w:sz w:val="24"/>
          <w:szCs w:val="24"/>
        </w:rPr>
        <w:t xml:space="preserve"> Art 9; HRC 2009</w:t>
      </w:r>
      <w:r w:rsidR="00911125" w:rsidRPr="001347F6">
        <w:rPr>
          <w:sz w:val="24"/>
          <w:szCs w:val="24"/>
        </w:rPr>
        <w:fldChar w:fldCharType="begin"/>
      </w:r>
      <w:r w:rsidR="00911125" w:rsidRPr="001347F6">
        <w:rPr>
          <w:sz w:val="24"/>
          <w:szCs w:val="24"/>
        </w:rPr>
        <w:instrText xml:space="preserve"> TA \s "HRC 2009" </w:instrText>
      </w:r>
      <w:r w:rsidR="00911125" w:rsidRPr="001347F6">
        <w:rPr>
          <w:sz w:val="24"/>
          <w:szCs w:val="24"/>
        </w:rPr>
        <w:fldChar w:fldCharType="end"/>
      </w:r>
      <w:r w:rsidRPr="001347F6">
        <w:rPr>
          <w:sz w:val="24"/>
          <w:szCs w:val="24"/>
        </w:rPr>
        <w:t xml:space="preserve">, </w:t>
      </w:r>
      <w:r w:rsidRPr="001347F6">
        <w:rPr>
          <w:sz w:val="24"/>
          <w:szCs w:val="24"/>
          <w:highlight w:val="white"/>
        </w:rPr>
        <w:t>[22]</w:t>
      </w:r>
      <w:r w:rsidRPr="001347F6">
        <w:rPr>
          <w:sz w:val="24"/>
          <w:szCs w:val="24"/>
        </w:rPr>
        <w:t>.</w:t>
      </w:r>
    </w:p>
    <w:p w14:paraId="7217BCEC" w14:textId="77777777" w:rsidR="008C2177" w:rsidRPr="001347F6" w:rsidRDefault="008C2177" w:rsidP="001347F6">
      <w:pPr>
        <w:widowControl/>
        <w:jc w:val="both"/>
        <w:rPr>
          <w:sz w:val="24"/>
          <w:szCs w:val="24"/>
        </w:rPr>
      </w:pPr>
    </w:p>
  </w:footnote>
  <w:footnote w:id="77">
    <w:p w14:paraId="13B7958F" w14:textId="37F96522"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CRS</w:t>
      </w:r>
      <w:r w:rsidR="00150089" w:rsidRPr="001347F6">
        <w:rPr>
          <w:i/>
          <w:sz w:val="24"/>
          <w:szCs w:val="24"/>
        </w:rPr>
        <w:t>,</w:t>
      </w:r>
      <w:r w:rsidR="000E212C" w:rsidRPr="001347F6">
        <w:rPr>
          <w:i/>
          <w:sz w:val="24"/>
          <w:szCs w:val="24"/>
        </w:rPr>
        <w:fldChar w:fldCharType="begin"/>
      </w:r>
      <w:r w:rsidR="000E212C" w:rsidRPr="001347F6">
        <w:rPr>
          <w:i/>
          <w:sz w:val="24"/>
          <w:szCs w:val="24"/>
        </w:rPr>
        <w:instrText xml:space="preserve"> TA \s "CRS," </w:instrText>
      </w:r>
      <w:r w:rsidR="000E212C" w:rsidRPr="001347F6">
        <w:rPr>
          <w:i/>
          <w:sz w:val="24"/>
          <w:szCs w:val="24"/>
        </w:rPr>
        <w:fldChar w:fldCharType="end"/>
      </w:r>
      <w:r w:rsidRPr="001347F6">
        <w:rPr>
          <w:sz w:val="24"/>
          <w:szCs w:val="24"/>
        </w:rPr>
        <w:t xml:space="preserve"> Art 9; </w:t>
      </w:r>
      <w:r w:rsidRPr="001347F6">
        <w:rPr>
          <w:sz w:val="24"/>
          <w:szCs w:val="24"/>
          <w:highlight w:val="white"/>
        </w:rPr>
        <w:t>UNHCR Guidelines No. 5</w:t>
      </w:r>
      <w:r w:rsidR="008A3D5E" w:rsidRPr="001347F6">
        <w:rPr>
          <w:sz w:val="24"/>
          <w:szCs w:val="24"/>
          <w:highlight w:val="white"/>
        </w:rPr>
        <w:fldChar w:fldCharType="begin"/>
      </w:r>
      <w:r w:rsidR="008A3D5E" w:rsidRPr="001347F6">
        <w:rPr>
          <w:sz w:val="24"/>
          <w:szCs w:val="24"/>
          <w:highlight w:val="white"/>
        </w:rPr>
        <w:instrText xml:space="preserve"> TA \s "UNHCR Guidelines No. 5" </w:instrText>
      </w:r>
      <w:r w:rsidR="008A3D5E" w:rsidRPr="001347F6">
        <w:rPr>
          <w:sz w:val="24"/>
          <w:szCs w:val="24"/>
          <w:highlight w:val="white"/>
        </w:rPr>
        <w:fldChar w:fldCharType="end"/>
      </w:r>
      <w:r w:rsidRPr="001347F6">
        <w:rPr>
          <w:sz w:val="24"/>
          <w:szCs w:val="24"/>
          <w:highlight w:val="white"/>
        </w:rPr>
        <w:t xml:space="preserve">, [78]. </w:t>
      </w:r>
    </w:p>
    <w:p w14:paraId="04F1511D" w14:textId="77777777" w:rsidR="008C2177" w:rsidRPr="001347F6" w:rsidRDefault="008C2177" w:rsidP="001347F6">
      <w:pPr>
        <w:widowControl/>
        <w:jc w:val="both"/>
        <w:rPr>
          <w:sz w:val="24"/>
          <w:szCs w:val="24"/>
        </w:rPr>
      </w:pPr>
    </w:p>
  </w:footnote>
  <w:footnote w:id="78">
    <w:p w14:paraId="38C187EC" w14:textId="3699A454" w:rsidR="008C2177" w:rsidRPr="001347F6" w:rsidRDefault="00000000" w:rsidP="001347F6">
      <w:pPr>
        <w:widowControl/>
        <w:jc w:val="both"/>
        <w:rPr>
          <w:sz w:val="24"/>
          <w:szCs w:val="24"/>
          <w:lang w:val="fr-CA"/>
        </w:rPr>
      </w:pPr>
      <w:r w:rsidRPr="001347F6">
        <w:rPr>
          <w:sz w:val="24"/>
          <w:szCs w:val="24"/>
          <w:vertAlign w:val="superscript"/>
        </w:rPr>
        <w:footnoteRef/>
      </w:r>
      <w:r w:rsidRPr="001347F6">
        <w:rPr>
          <w:sz w:val="24"/>
          <w:szCs w:val="24"/>
          <w:lang w:val="fr-CA"/>
        </w:rPr>
        <w:t xml:space="preserve"> UNHCR Tunis Conclusions</w:t>
      </w:r>
      <w:r w:rsidR="00DC64B4" w:rsidRPr="001347F6">
        <w:rPr>
          <w:sz w:val="24"/>
          <w:szCs w:val="24"/>
          <w:lang w:val="fr-CA"/>
        </w:rPr>
        <w:fldChar w:fldCharType="begin"/>
      </w:r>
      <w:r w:rsidR="00DC64B4" w:rsidRPr="001347F6">
        <w:rPr>
          <w:sz w:val="24"/>
          <w:szCs w:val="24"/>
          <w:lang w:val="fr-CA"/>
        </w:rPr>
        <w:instrText xml:space="preserve"> TA \s "UNHCR Tunis Conclusions" </w:instrText>
      </w:r>
      <w:r w:rsidR="00DC64B4" w:rsidRPr="001347F6">
        <w:rPr>
          <w:sz w:val="24"/>
          <w:szCs w:val="24"/>
          <w:lang w:val="fr-CA"/>
        </w:rPr>
        <w:fldChar w:fldCharType="end"/>
      </w:r>
      <w:r w:rsidRPr="001347F6">
        <w:rPr>
          <w:sz w:val="24"/>
          <w:szCs w:val="24"/>
          <w:lang w:val="fr-CA"/>
        </w:rPr>
        <w:t xml:space="preserve">, [70]-[71]. </w:t>
      </w:r>
    </w:p>
    <w:p w14:paraId="73884006" w14:textId="77777777" w:rsidR="008C2177" w:rsidRPr="001347F6" w:rsidRDefault="008C2177" w:rsidP="001347F6">
      <w:pPr>
        <w:widowControl/>
        <w:jc w:val="both"/>
        <w:rPr>
          <w:sz w:val="24"/>
          <w:szCs w:val="24"/>
          <w:lang w:val="fr-CA"/>
        </w:rPr>
      </w:pPr>
    </w:p>
  </w:footnote>
  <w:footnote w:id="79">
    <w:p w14:paraId="4D0D1779" w14:textId="77777777" w:rsidR="008C2177" w:rsidRPr="001347F6" w:rsidRDefault="00000000" w:rsidP="001347F6">
      <w:pPr>
        <w:widowControl/>
        <w:jc w:val="both"/>
        <w:rPr>
          <w:sz w:val="24"/>
          <w:szCs w:val="24"/>
          <w:lang w:val="fr-CA"/>
        </w:rPr>
      </w:pPr>
      <w:r w:rsidRPr="001347F6">
        <w:rPr>
          <w:sz w:val="24"/>
          <w:szCs w:val="24"/>
          <w:vertAlign w:val="superscript"/>
        </w:rPr>
        <w:footnoteRef/>
      </w:r>
      <w:r w:rsidRPr="001347F6">
        <w:rPr>
          <w:sz w:val="24"/>
          <w:szCs w:val="24"/>
          <w:lang w:val="fr-CA"/>
        </w:rPr>
        <w:t xml:space="preserve"> </w:t>
      </w:r>
      <w:r w:rsidRPr="001347F6">
        <w:rPr>
          <w:sz w:val="24"/>
          <w:szCs w:val="24"/>
          <w:highlight w:val="white"/>
          <w:lang w:val="fr-CA"/>
        </w:rPr>
        <w:t>Compromis, [8], [34].</w:t>
      </w:r>
    </w:p>
    <w:p w14:paraId="0A4A4903" w14:textId="77777777" w:rsidR="008C2177" w:rsidRPr="001347F6" w:rsidRDefault="008C2177" w:rsidP="001347F6">
      <w:pPr>
        <w:widowControl/>
        <w:jc w:val="both"/>
        <w:rPr>
          <w:sz w:val="24"/>
          <w:szCs w:val="24"/>
          <w:lang w:val="fr-CA"/>
        </w:rPr>
      </w:pPr>
    </w:p>
  </w:footnote>
  <w:footnote w:id="80">
    <w:p w14:paraId="5EDFB993" w14:textId="77777777" w:rsidR="008C2177" w:rsidRPr="001347F6" w:rsidRDefault="00000000" w:rsidP="001347F6">
      <w:pPr>
        <w:widowControl/>
        <w:jc w:val="both"/>
        <w:rPr>
          <w:sz w:val="24"/>
          <w:szCs w:val="24"/>
          <w:lang w:val="fr-CA"/>
        </w:rPr>
      </w:pPr>
      <w:r w:rsidRPr="001347F6">
        <w:rPr>
          <w:sz w:val="24"/>
          <w:szCs w:val="24"/>
          <w:vertAlign w:val="superscript"/>
        </w:rPr>
        <w:footnoteRef/>
      </w:r>
      <w:r w:rsidRPr="001347F6">
        <w:rPr>
          <w:sz w:val="24"/>
          <w:szCs w:val="24"/>
          <w:lang w:val="fr-CA"/>
        </w:rPr>
        <w:t xml:space="preserve"> </w:t>
      </w:r>
      <w:r w:rsidRPr="001347F6">
        <w:rPr>
          <w:sz w:val="24"/>
          <w:szCs w:val="24"/>
          <w:highlight w:val="white"/>
          <w:lang w:val="fr-CA"/>
        </w:rPr>
        <w:t>Compromis, [7], [34].</w:t>
      </w:r>
    </w:p>
    <w:p w14:paraId="47DF332A" w14:textId="77777777" w:rsidR="008C2177" w:rsidRPr="001347F6" w:rsidRDefault="008C2177" w:rsidP="001347F6">
      <w:pPr>
        <w:widowControl/>
        <w:jc w:val="both"/>
        <w:rPr>
          <w:sz w:val="24"/>
          <w:szCs w:val="24"/>
          <w:lang w:val="fr-CA"/>
        </w:rPr>
      </w:pPr>
    </w:p>
  </w:footnote>
  <w:footnote w:id="81">
    <w:p w14:paraId="58BAA846" w14:textId="0FA7EC95" w:rsidR="008C2177" w:rsidRPr="001347F6" w:rsidRDefault="00000000" w:rsidP="001347F6">
      <w:pPr>
        <w:widowControl/>
        <w:jc w:val="both"/>
        <w:rPr>
          <w:sz w:val="24"/>
          <w:szCs w:val="24"/>
          <w:highlight w:val="white"/>
        </w:rPr>
      </w:pPr>
      <w:r w:rsidRPr="001347F6">
        <w:rPr>
          <w:sz w:val="24"/>
          <w:szCs w:val="24"/>
          <w:vertAlign w:val="superscript"/>
        </w:rPr>
        <w:footnoteRef/>
      </w:r>
      <w:r w:rsidRPr="001347F6">
        <w:rPr>
          <w:sz w:val="24"/>
          <w:szCs w:val="24"/>
        </w:rPr>
        <w:t xml:space="preserve"> </w:t>
      </w:r>
      <w:r w:rsidRPr="001347F6">
        <w:rPr>
          <w:sz w:val="24"/>
          <w:szCs w:val="24"/>
          <w:highlight w:val="white"/>
        </w:rPr>
        <w:t>Compromis, [30], [33].</w:t>
      </w:r>
    </w:p>
    <w:p w14:paraId="0BD6735A" w14:textId="77777777" w:rsidR="008C2177" w:rsidRPr="001347F6" w:rsidRDefault="008C2177" w:rsidP="001347F6">
      <w:pPr>
        <w:widowControl/>
        <w:jc w:val="both"/>
        <w:rPr>
          <w:sz w:val="24"/>
          <w:szCs w:val="24"/>
          <w:highlight w:val="white"/>
        </w:rPr>
      </w:pPr>
    </w:p>
  </w:footnote>
  <w:footnote w:id="82">
    <w:p w14:paraId="3D140914" w14:textId="74283465" w:rsidR="008C2177" w:rsidRPr="001347F6" w:rsidRDefault="00000000" w:rsidP="001347F6">
      <w:pPr>
        <w:widowControl/>
        <w:jc w:val="both"/>
        <w:rPr>
          <w:sz w:val="24"/>
          <w:szCs w:val="24"/>
          <w:highlight w:val="white"/>
        </w:rPr>
      </w:pPr>
      <w:r w:rsidRPr="001347F6">
        <w:rPr>
          <w:sz w:val="24"/>
          <w:szCs w:val="24"/>
          <w:vertAlign w:val="superscript"/>
        </w:rPr>
        <w:footnoteRef/>
      </w:r>
      <w:r w:rsidRPr="001347F6">
        <w:rPr>
          <w:sz w:val="24"/>
          <w:szCs w:val="24"/>
        </w:rPr>
        <w:t xml:space="preserve"> </w:t>
      </w:r>
      <w:r w:rsidRPr="001347F6">
        <w:rPr>
          <w:sz w:val="24"/>
          <w:szCs w:val="24"/>
          <w:highlight w:val="white"/>
        </w:rPr>
        <w:t>CRS</w:t>
      </w:r>
      <w:r w:rsidR="00150089" w:rsidRPr="001347F6">
        <w:rPr>
          <w:sz w:val="24"/>
          <w:szCs w:val="24"/>
          <w:highlight w:val="white"/>
        </w:rPr>
        <w:t>,</w:t>
      </w:r>
      <w:r w:rsidR="000E212C" w:rsidRPr="001347F6">
        <w:rPr>
          <w:sz w:val="24"/>
          <w:szCs w:val="24"/>
          <w:highlight w:val="white"/>
        </w:rPr>
        <w:fldChar w:fldCharType="begin"/>
      </w:r>
      <w:r w:rsidR="000E212C" w:rsidRPr="001347F6">
        <w:rPr>
          <w:sz w:val="24"/>
          <w:szCs w:val="24"/>
          <w:highlight w:val="white"/>
        </w:rPr>
        <w:instrText xml:space="preserve"> TA \s "CRS," </w:instrText>
      </w:r>
      <w:r w:rsidR="000E212C" w:rsidRPr="001347F6">
        <w:rPr>
          <w:sz w:val="24"/>
          <w:szCs w:val="24"/>
          <w:highlight w:val="white"/>
        </w:rPr>
        <w:fldChar w:fldCharType="end"/>
      </w:r>
      <w:r w:rsidRPr="001347F6">
        <w:rPr>
          <w:sz w:val="24"/>
          <w:szCs w:val="24"/>
          <w:highlight w:val="white"/>
        </w:rPr>
        <w:t xml:space="preserve"> Art 8(3).</w:t>
      </w:r>
    </w:p>
    <w:p w14:paraId="44AD25BF" w14:textId="77777777" w:rsidR="008C2177" w:rsidRPr="001347F6" w:rsidRDefault="008C2177" w:rsidP="001347F6">
      <w:pPr>
        <w:widowControl/>
        <w:jc w:val="both"/>
        <w:rPr>
          <w:sz w:val="24"/>
          <w:szCs w:val="24"/>
          <w:highlight w:val="white"/>
        </w:rPr>
      </w:pPr>
    </w:p>
  </w:footnote>
  <w:footnote w:id="83">
    <w:p w14:paraId="418DF64A" w14:textId="3685D949" w:rsidR="008C2177" w:rsidRPr="001347F6" w:rsidRDefault="00000000" w:rsidP="001347F6">
      <w:pPr>
        <w:widowControl/>
        <w:jc w:val="both"/>
        <w:rPr>
          <w:b/>
          <w:sz w:val="24"/>
          <w:szCs w:val="24"/>
          <w:u w:val="single"/>
        </w:rPr>
      </w:pPr>
      <w:r w:rsidRPr="001347F6">
        <w:rPr>
          <w:sz w:val="24"/>
          <w:szCs w:val="24"/>
          <w:vertAlign w:val="superscript"/>
        </w:rPr>
        <w:footnoteRef/>
      </w:r>
      <w:r w:rsidRPr="001347F6">
        <w:rPr>
          <w:sz w:val="24"/>
          <w:szCs w:val="24"/>
          <w:highlight w:val="white"/>
        </w:rPr>
        <w:t xml:space="preserve"> </w:t>
      </w:r>
      <w:r w:rsidR="001F6B71" w:rsidRPr="001347F6">
        <w:rPr>
          <w:sz w:val="24"/>
          <w:szCs w:val="24"/>
          <w:highlight w:val="white"/>
        </w:rPr>
        <w:t>VCLT</w:t>
      </w:r>
      <w:r w:rsidR="00150089" w:rsidRPr="001347F6">
        <w:rPr>
          <w:sz w:val="24"/>
          <w:szCs w:val="24"/>
          <w:highlight w:val="white"/>
        </w:rPr>
        <w:t>,</w:t>
      </w:r>
      <w:r w:rsidR="000B5DB7" w:rsidRPr="001347F6">
        <w:rPr>
          <w:sz w:val="24"/>
          <w:szCs w:val="24"/>
          <w:highlight w:val="white"/>
        </w:rPr>
        <w:fldChar w:fldCharType="begin"/>
      </w:r>
      <w:r w:rsidR="000B5DB7" w:rsidRPr="001347F6">
        <w:rPr>
          <w:sz w:val="24"/>
          <w:szCs w:val="24"/>
          <w:highlight w:val="white"/>
        </w:rPr>
        <w:instrText xml:space="preserve"> TA \s "VCLT," </w:instrText>
      </w:r>
      <w:r w:rsidR="000B5DB7" w:rsidRPr="001347F6">
        <w:rPr>
          <w:sz w:val="24"/>
          <w:szCs w:val="24"/>
          <w:highlight w:val="white"/>
        </w:rPr>
        <w:fldChar w:fldCharType="end"/>
      </w:r>
      <w:r w:rsidRPr="001347F6">
        <w:rPr>
          <w:sz w:val="24"/>
          <w:szCs w:val="24"/>
          <w:highlight w:val="white"/>
        </w:rPr>
        <w:t xml:space="preserve"> Art 2(d); </w:t>
      </w:r>
      <w:r w:rsidRPr="001347F6">
        <w:rPr>
          <w:i/>
          <w:sz w:val="24"/>
          <w:szCs w:val="24"/>
          <w:highlight w:val="white"/>
        </w:rPr>
        <w:t xml:space="preserve">Belilos v. Switzerland </w:t>
      </w:r>
      <w:r w:rsidRPr="001347F6">
        <w:rPr>
          <w:sz w:val="24"/>
          <w:szCs w:val="24"/>
          <w:highlight w:val="white"/>
        </w:rPr>
        <w:t>(</w:t>
      </w:r>
      <w:r w:rsidR="007D1B71">
        <w:rPr>
          <w:sz w:val="24"/>
          <w:szCs w:val="24"/>
          <w:highlight w:val="white"/>
        </w:rPr>
        <w:t>Judgment</w:t>
      </w:r>
      <w:r w:rsidRPr="001347F6">
        <w:rPr>
          <w:sz w:val="24"/>
          <w:szCs w:val="24"/>
          <w:highlight w:val="white"/>
        </w:rPr>
        <w:t>) ECHR</w:t>
      </w:r>
      <w:r w:rsidRPr="001347F6">
        <w:rPr>
          <w:i/>
          <w:sz w:val="24"/>
          <w:szCs w:val="24"/>
          <w:highlight w:val="white"/>
        </w:rPr>
        <w:t xml:space="preserve"> </w:t>
      </w:r>
      <w:r w:rsidRPr="001347F6">
        <w:rPr>
          <w:sz w:val="24"/>
          <w:szCs w:val="24"/>
          <w:highlight w:val="white"/>
        </w:rPr>
        <w:t>App. No. 10328/83 (29 April 1988)</w:t>
      </w:r>
      <w:r w:rsidR="0010198B" w:rsidRPr="001347F6">
        <w:rPr>
          <w:sz w:val="24"/>
          <w:szCs w:val="24"/>
          <w:highlight w:val="white"/>
        </w:rPr>
        <w:fldChar w:fldCharType="begin"/>
      </w:r>
      <w:r w:rsidR="0010198B" w:rsidRPr="001347F6">
        <w:rPr>
          <w:sz w:val="24"/>
          <w:szCs w:val="24"/>
        </w:rPr>
        <w:instrText xml:space="preserve"> TA \l "</w:instrText>
      </w:r>
      <w:r w:rsidR="0010198B" w:rsidRPr="001347F6">
        <w:rPr>
          <w:i/>
          <w:sz w:val="24"/>
          <w:szCs w:val="24"/>
          <w:highlight w:val="white"/>
        </w:rPr>
        <w:instrText xml:space="preserve">Belilos v. Switzerland </w:instrText>
      </w:r>
      <w:r w:rsidR="0010198B" w:rsidRPr="001347F6">
        <w:rPr>
          <w:sz w:val="24"/>
          <w:szCs w:val="24"/>
          <w:highlight w:val="white"/>
        </w:rPr>
        <w:instrText>(Judgement) ECHR</w:instrText>
      </w:r>
      <w:r w:rsidR="0010198B" w:rsidRPr="001347F6">
        <w:rPr>
          <w:i/>
          <w:sz w:val="24"/>
          <w:szCs w:val="24"/>
          <w:highlight w:val="white"/>
        </w:rPr>
        <w:instrText xml:space="preserve"> </w:instrText>
      </w:r>
      <w:r w:rsidR="0010198B" w:rsidRPr="001347F6">
        <w:rPr>
          <w:sz w:val="24"/>
          <w:szCs w:val="24"/>
          <w:highlight w:val="white"/>
        </w:rPr>
        <w:instrText>App. No. 10328/83 (29 April 1988)</w:instrText>
      </w:r>
      <w:r w:rsidR="0010198B" w:rsidRPr="001347F6">
        <w:rPr>
          <w:sz w:val="24"/>
          <w:szCs w:val="24"/>
        </w:rPr>
        <w:instrText xml:space="preserve">" \s "Belilos v. Switzerland" \c 4 </w:instrText>
      </w:r>
      <w:r w:rsidR="0010198B" w:rsidRPr="001347F6">
        <w:rPr>
          <w:sz w:val="24"/>
          <w:szCs w:val="24"/>
          <w:highlight w:val="white"/>
        </w:rPr>
        <w:fldChar w:fldCharType="end"/>
      </w:r>
      <w:r w:rsidRPr="001347F6">
        <w:rPr>
          <w:sz w:val="24"/>
          <w:szCs w:val="24"/>
          <w:highlight w:val="white"/>
        </w:rPr>
        <w:t xml:space="preserve"> </w:t>
      </w:r>
      <w:r w:rsidRPr="001347F6">
        <w:rPr>
          <w:sz w:val="24"/>
          <w:szCs w:val="24"/>
        </w:rPr>
        <w:t xml:space="preserve">[49]; </w:t>
      </w:r>
      <w:r w:rsidRPr="001347F6">
        <w:rPr>
          <w:i/>
          <w:sz w:val="24"/>
          <w:szCs w:val="24"/>
          <w:highlight w:val="white"/>
        </w:rPr>
        <w:t xml:space="preserve">Delimitation of the Continental Shelf </w:t>
      </w:r>
      <w:r w:rsidRPr="001347F6">
        <w:rPr>
          <w:sz w:val="24"/>
          <w:szCs w:val="24"/>
          <w:highlight w:val="white"/>
        </w:rPr>
        <w:t>(UK v France) (1979) 54 ILR 6</w:t>
      </w:r>
      <w:r w:rsidR="0010198B" w:rsidRPr="001347F6">
        <w:rPr>
          <w:sz w:val="24"/>
          <w:szCs w:val="24"/>
          <w:highlight w:val="white"/>
        </w:rPr>
        <w:fldChar w:fldCharType="begin"/>
      </w:r>
      <w:r w:rsidR="0010198B" w:rsidRPr="001347F6">
        <w:rPr>
          <w:sz w:val="24"/>
          <w:szCs w:val="24"/>
        </w:rPr>
        <w:instrText xml:space="preserve"> TA \l "</w:instrText>
      </w:r>
      <w:r w:rsidR="0010198B" w:rsidRPr="001347F6">
        <w:rPr>
          <w:i/>
          <w:sz w:val="24"/>
          <w:szCs w:val="24"/>
          <w:highlight w:val="white"/>
        </w:rPr>
        <w:instrText xml:space="preserve">Delimitation of the Continental Shelf </w:instrText>
      </w:r>
      <w:r w:rsidR="0010198B" w:rsidRPr="001347F6">
        <w:rPr>
          <w:sz w:val="24"/>
          <w:szCs w:val="24"/>
          <w:highlight w:val="white"/>
        </w:rPr>
        <w:instrText>(UK v France) (1979) 54 ILR 6</w:instrText>
      </w:r>
      <w:r w:rsidR="0010198B" w:rsidRPr="001347F6">
        <w:rPr>
          <w:sz w:val="24"/>
          <w:szCs w:val="24"/>
        </w:rPr>
        <w:instrText xml:space="preserve">" \s "Delimitation of the Continental Shelf" \c 4 </w:instrText>
      </w:r>
      <w:r w:rsidR="0010198B" w:rsidRPr="001347F6">
        <w:rPr>
          <w:sz w:val="24"/>
          <w:szCs w:val="24"/>
          <w:highlight w:val="white"/>
        </w:rPr>
        <w:fldChar w:fldCharType="end"/>
      </w:r>
      <w:r w:rsidRPr="001347F6">
        <w:rPr>
          <w:sz w:val="24"/>
          <w:szCs w:val="24"/>
          <w:highlight w:val="white"/>
        </w:rPr>
        <w:t xml:space="preserve"> </w:t>
      </w:r>
      <w:r w:rsidRPr="001347F6">
        <w:rPr>
          <w:sz w:val="24"/>
          <w:szCs w:val="24"/>
        </w:rPr>
        <w:t>[55]; HRComm ‘General Comment 24 - Article 41 of the ICCPR</w:t>
      </w:r>
      <w:r w:rsidR="000E212C" w:rsidRPr="001347F6">
        <w:rPr>
          <w:sz w:val="24"/>
          <w:szCs w:val="24"/>
        </w:rPr>
        <w:fldChar w:fldCharType="begin"/>
      </w:r>
      <w:r w:rsidR="000E212C" w:rsidRPr="001347F6">
        <w:rPr>
          <w:sz w:val="24"/>
          <w:szCs w:val="24"/>
        </w:rPr>
        <w:instrText xml:space="preserve"> TA \s "ICCPR" </w:instrText>
      </w:r>
      <w:r w:rsidR="000E212C" w:rsidRPr="001347F6">
        <w:rPr>
          <w:sz w:val="24"/>
          <w:szCs w:val="24"/>
        </w:rPr>
        <w:fldChar w:fldCharType="end"/>
      </w:r>
      <w:r w:rsidRPr="001347F6">
        <w:rPr>
          <w:sz w:val="24"/>
          <w:szCs w:val="24"/>
        </w:rPr>
        <w:t>’ (</w:t>
      </w:r>
      <w:r w:rsidRPr="001347F6">
        <w:rPr>
          <w:sz w:val="24"/>
          <w:szCs w:val="24"/>
          <w:highlight w:val="white"/>
        </w:rPr>
        <w:t xml:space="preserve">4 November 1994) UN Doc CCPR/C/21/Rev.1/Add.6 </w:t>
      </w:r>
      <w:r w:rsidRPr="001347F6">
        <w:rPr>
          <w:sz w:val="24"/>
          <w:szCs w:val="24"/>
        </w:rPr>
        <w:t>[‘General Comment 24’]</w:t>
      </w:r>
      <w:r w:rsidR="0010198B" w:rsidRPr="001347F6">
        <w:rPr>
          <w:sz w:val="24"/>
          <w:szCs w:val="24"/>
        </w:rPr>
        <w:fldChar w:fldCharType="begin"/>
      </w:r>
      <w:r w:rsidR="0010198B" w:rsidRPr="001347F6">
        <w:rPr>
          <w:sz w:val="24"/>
          <w:szCs w:val="24"/>
        </w:rPr>
        <w:instrText xml:space="preserve"> TA \l "HRComm ‘General Comment 24 - Article 41 of the ICCPR’ (</w:instrText>
      </w:r>
      <w:r w:rsidR="0010198B" w:rsidRPr="001347F6">
        <w:rPr>
          <w:sz w:val="24"/>
          <w:szCs w:val="24"/>
          <w:highlight w:val="white"/>
        </w:rPr>
        <w:instrText xml:space="preserve">4 November 1994) UN Doc CCPR/C/21/Rev.1/Add.6 </w:instrText>
      </w:r>
      <w:r w:rsidR="0010198B" w:rsidRPr="001347F6">
        <w:rPr>
          <w:sz w:val="24"/>
          <w:szCs w:val="24"/>
        </w:rPr>
        <w:instrText xml:space="preserve">[‘General Comment 24’]" \s "General Comment 24" \c 3 </w:instrText>
      </w:r>
      <w:r w:rsidR="0010198B" w:rsidRPr="001347F6">
        <w:rPr>
          <w:sz w:val="24"/>
          <w:szCs w:val="24"/>
        </w:rPr>
        <w:fldChar w:fldCharType="end"/>
      </w:r>
      <w:r w:rsidRPr="001347F6">
        <w:rPr>
          <w:sz w:val="24"/>
          <w:szCs w:val="24"/>
        </w:rPr>
        <w:t xml:space="preserve"> [3].</w:t>
      </w:r>
    </w:p>
    <w:p w14:paraId="7E2E4FEB" w14:textId="77777777" w:rsidR="008C2177" w:rsidRDefault="008C2177" w:rsidP="001347F6">
      <w:pPr>
        <w:widowControl/>
        <w:jc w:val="both"/>
        <w:rPr>
          <w:sz w:val="24"/>
          <w:szCs w:val="24"/>
          <w:highlight w:val="white"/>
        </w:rPr>
      </w:pPr>
    </w:p>
    <w:p w14:paraId="5C456E81" w14:textId="77777777" w:rsidR="001347F6" w:rsidRPr="001347F6" w:rsidRDefault="001347F6" w:rsidP="001347F6">
      <w:pPr>
        <w:widowControl/>
        <w:jc w:val="both"/>
        <w:rPr>
          <w:sz w:val="24"/>
          <w:szCs w:val="24"/>
          <w:highlight w:val="white"/>
        </w:rPr>
      </w:pPr>
    </w:p>
  </w:footnote>
  <w:footnote w:id="84">
    <w:p w14:paraId="51BCDECF" w14:textId="449F7500"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highlight w:val="white"/>
        </w:rPr>
        <w:t xml:space="preserve"> VCLT,</w:t>
      </w:r>
      <w:r w:rsidR="000B5DB7" w:rsidRPr="001347F6">
        <w:rPr>
          <w:sz w:val="24"/>
          <w:szCs w:val="24"/>
          <w:highlight w:val="white"/>
        </w:rPr>
        <w:fldChar w:fldCharType="begin"/>
      </w:r>
      <w:r w:rsidR="000B5DB7" w:rsidRPr="001347F6">
        <w:rPr>
          <w:sz w:val="24"/>
          <w:szCs w:val="24"/>
          <w:highlight w:val="white"/>
        </w:rPr>
        <w:instrText xml:space="preserve"> TA \s "VCLT," </w:instrText>
      </w:r>
      <w:r w:rsidR="000B5DB7" w:rsidRPr="001347F6">
        <w:rPr>
          <w:sz w:val="24"/>
          <w:szCs w:val="24"/>
          <w:highlight w:val="white"/>
        </w:rPr>
        <w:fldChar w:fldCharType="end"/>
      </w:r>
      <w:r w:rsidR="000E212C" w:rsidRPr="001347F6">
        <w:rPr>
          <w:sz w:val="24"/>
          <w:szCs w:val="24"/>
          <w:highlight w:val="white"/>
        </w:rPr>
        <w:t xml:space="preserve"> </w:t>
      </w:r>
      <w:r w:rsidRPr="001347F6">
        <w:rPr>
          <w:sz w:val="24"/>
          <w:szCs w:val="24"/>
          <w:highlight w:val="white"/>
        </w:rPr>
        <w:t>Art 19 (c);</w:t>
      </w:r>
      <w:r w:rsidRPr="001347F6">
        <w:rPr>
          <w:sz w:val="24"/>
          <w:szCs w:val="24"/>
        </w:rPr>
        <w:t xml:space="preserve"> </w:t>
      </w:r>
      <w:r w:rsidRPr="001347F6">
        <w:rPr>
          <w:i/>
          <w:sz w:val="24"/>
          <w:szCs w:val="24"/>
          <w:highlight w:val="white"/>
        </w:rPr>
        <w:t>Genocide Reservations</w:t>
      </w:r>
      <w:r w:rsidR="00016E26" w:rsidRPr="001347F6">
        <w:rPr>
          <w:i/>
          <w:sz w:val="24"/>
          <w:szCs w:val="24"/>
          <w:highlight w:val="white"/>
        </w:rPr>
        <w:fldChar w:fldCharType="begin"/>
      </w:r>
      <w:r w:rsidR="00016E26" w:rsidRPr="001347F6">
        <w:rPr>
          <w:i/>
          <w:sz w:val="24"/>
          <w:szCs w:val="24"/>
          <w:highlight w:val="white"/>
        </w:rPr>
        <w:instrText xml:space="preserve"> TA \s "Genocide Reservations" </w:instrText>
      </w:r>
      <w:r w:rsidR="00016E26" w:rsidRPr="001347F6">
        <w:rPr>
          <w:i/>
          <w:sz w:val="24"/>
          <w:szCs w:val="24"/>
          <w:highlight w:val="white"/>
        </w:rPr>
        <w:fldChar w:fldCharType="end"/>
      </w:r>
      <w:r w:rsidRPr="001347F6">
        <w:rPr>
          <w:sz w:val="24"/>
          <w:szCs w:val="24"/>
        </w:rPr>
        <w:t xml:space="preserve"> [13]; Salem, N., </w:t>
      </w:r>
      <w:r w:rsidRPr="001347F6">
        <w:rPr>
          <w:i/>
          <w:sz w:val="24"/>
          <w:szCs w:val="24"/>
        </w:rPr>
        <w:t>Sharia Reservations to Human Rights Treaties</w:t>
      </w:r>
      <w:r w:rsidRPr="001347F6">
        <w:rPr>
          <w:sz w:val="24"/>
          <w:szCs w:val="24"/>
        </w:rPr>
        <w:t xml:space="preserve"> (MPEPIL 2020)</w:t>
      </w:r>
      <w:r w:rsidR="0010198B" w:rsidRPr="001347F6">
        <w:rPr>
          <w:sz w:val="24"/>
          <w:szCs w:val="24"/>
        </w:rPr>
        <w:fldChar w:fldCharType="begin"/>
      </w:r>
      <w:r w:rsidR="0010198B" w:rsidRPr="001347F6">
        <w:rPr>
          <w:sz w:val="24"/>
          <w:szCs w:val="24"/>
        </w:rPr>
        <w:instrText xml:space="preserve"> TA \l "Salem, N., </w:instrText>
      </w:r>
      <w:r w:rsidR="0010198B" w:rsidRPr="001347F6">
        <w:rPr>
          <w:i/>
          <w:sz w:val="24"/>
          <w:szCs w:val="24"/>
        </w:rPr>
        <w:instrText>Sharia Reservations to Human Rights Treaties</w:instrText>
      </w:r>
      <w:r w:rsidR="0010198B" w:rsidRPr="001347F6">
        <w:rPr>
          <w:sz w:val="24"/>
          <w:szCs w:val="24"/>
        </w:rPr>
        <w:instrText xml:space="preserve"> (MPEPIL 2020)" \s "Salem, N., Sharia Reservations to Human Rights Treaties" \c 6 </w:instrText>
      </w:r>
      <w:r w:rsidR="0010198B" w:rsidRPr="001347F6">
        <w:rPr>
          <w:sz w:val="24"/>
          <w:szCs w:val="24"/>
        </w:rPr>
        <w:fldChar w:fldCharType="end"/>
      </w:r>
      <w:r w:rsidRPr="001347F6">
        <w:rPr>
          <w:sz w:val="24"/>
          <w:szCs w:val="24"/>
        </w:rPr>
        <w:t xml:space="preserve"> pp. 4. </w:t>
      </w:r>
    </w:p>
    <w:p w14:paraId="55BC8F87" w14:textId="77777777" w:rsidR="008C2177" w:rsidRPr="001347F6" w:rsidRDefault="008C2177" w:rsidP="001347F6">
      <w:pPr>
        <w:widowControl/>
        <w:jc w:val="both"/>
        <w:rPr>
          <w:sz w:val="24"/>
          <w:szCs w:val="24"/>
        </w:rPr>
      </w:pPr>
    </w:p>
  </w:footnote>
  <w:footnote w:id="85">
    <w:p w14:paraId="3DDB1033" w14:textId="5A549417" w:rsidR="008C2177" w:rsidRPr="001347F6" w:rsidRDefault="00000000" w:rsidP="001347F6">
      <w:pPr>
        <w:widowControl/>
        <w:jc w:val="both"/>
        <w:rPr>
          <w:sz w:val="24"/>
          <w:szCs w:val="24"/>
          <w:lang w:val="fr-CA"/>
        </w:rPr>
      </w:pPr>
      <w:r w:rsidRPr="001347F6">
        <w:rPr>
          <w:sz w:val="24"/>
          <w:szCs w:val="24"/>
          <w:vertAlign w:val="superscript"/>
        </w:rPr>
        <w:footnoteRef/>
      </w:r>
      <w:r w:rsidRPr="001347F6">
        <w:rPr>
          <w:sz w:val="24"/>
          <w:szCs w:val="24"/>
          <w:lang w:val="fr-CA"/>
        </w:rPr>
        <w:t xml:space="preserve"> </w:t>
      </w:r>
      <w:r w:rsidRPr="001347F6">
        <w:rPr>
          <w:i/>
          <w:sz w:val="24"/>
          <w:szCs w:val="24"/>
          <w:lang w:val="fr-CA"/>
        </w:rPr>
        <w:t>CRS</w:t>
      </w:r>
      <w:r w:rsidR="00150089" w:rsidRPr="001347F6">
        <w:rPr>
          <w:i/>
          <w:sz w:val="24"/>
          <w:szCs w:val="24"/>
          <w:lang w:val="fr-CA"/>
        </w:rPr>
        <w:t>,</w:t>
      </w:r>
      <w:r w:rsidR="000E212C" w:rsidRPr="001347F6">
        <w:rPr>
          <w:i/>
          <w:sz w:val="24"/>
          <w:szCs w:val="24"/>
          <w:lang w:val="fr-CA"/>
        </w:rPr>
        <w:fldChar w:fldCharType="begin"/>
      </w:r>
      <w:r w:rsidR="000E212C" w:rsidRPr="001347F6">
        <w:rPr>
          <w:i/>
          <w:sz w:val="24"/>
          <w:szCs w:val="24"/>
          <w:lang w:val="fr-CA"/>
        </w:rPr>
        <w:instrText xml:space="preserve"> TA \s "CRS," </w:instrText>
      </w:r>
      <w:r w:rsidR="000E212C" w:rsidRPr="001347F6">
        <w:rPr>
          <w:i/>
          <w:sz w:val="24"/>
          <w:szCs w:val="24"/>
          <w:lang w:val="fr-CA"/>
        </w:rPr>
        <w:fldChar w:fldCharType="end"/>
      </w:r>
      <w:r w:rsidRPr="001347F6">
        <w:rPr>
          <w:i/>
          <w:sz w:val="24"/>
          <w:szCs w:val="24"/>
          <w:lang w:val="fr-CA"/>
        </w:rPr>
        <w:t xml:space="preserve"> Art 8(3) travaux préparatoires</w:t>
      </w:r>
      <w:r w:rsidR="00DC64B4" w:rsidRPr="001347F6">
        <w:rPr>
          <w:i/>
          <w:sz w:val="24"/>
          <w:szCs w:val="24"/>
          <w:lang w:val="fr-CA"/>
        </w:rPr>
        <w:fldChar w:fldCharType="begin"/>
      </w:r>
      <w:r w:rsidR="00DC64B4" w:rsidRPr="001347F6">
        <w:rPr>
          <w:i/>
          <w:sz w:val="24"/>
          <w:szCs w:val="24"/>
          <w:lang w:val="fr-CA"/>
        </w:rPr>
        <w:instrText xml:space="preserve"> TA \s "CRS, Art 8(3) travaux préparatoires" </w:instrText>
      </w:r>
      <w:r w:rsidR="00DC64B4" w:rsidRPr="001347F6">
        <w:rPr>
          <w:i/>
          <w:sz w:val="24"/>
          <w:szCs w:val="24"/>
          <w:lang w:val="fr-CA"/>
        </w:rPr>
        <w:fldChar w:fldCharType="end"/>
      </w:r>
      <w:r w:rsidRPr="001347F6">
        <w:rPr>
          <w:i/>
          <w:sz w:val="24"/>
          <w:szCs w:val="24"/>
          <w:lang w:val="fr-CA"/>
        </w:rPr>
        <w:t>,</w:t>
      </w:r>
      <w:r w:rsidRPr="001347F6">
        <w:rPr>
          <w:sz w:val="24"/>
          <w:szCs w:val="24"/>
          <w:lang w:val="fr-CA"/>
        </w:rPr>
        <w:t xml:space="preserve"> pp. 13; </w:t>
      </w:r>
      <w:r w:rsidRPr="001347F6">
        <w:rPr>
          <w:sz w:val="24"/>
          <w:szCs w:val="24"/>
          <w:highlight w:val="white"/>
          <w:lang w:val="fr-CA"/>
        </w:rPr>
        <w:t>VCLT</w:t>
      </w:r>
      <w:r w:rsidR="00150089" w:rsidRPr="001347F6">
        <w:rPr>
          <w:sz w:val="24"/>
          <w:szCs w:val="24"/>
          <w:highlight w:val="white"/>
          <w:lang w:val="fr-CA"/>
        </w:rPr>
        <w:t>,</w:t>
      </w:r>
      <w:r w:rsidR="000B5DB7" w:rsidRPr="001347F6">
        <w:rPr>
          <w:sz w:val="24"/>
          <w:szCs w:val="24"/>
          <w:highlight w:val="white"/>
          <w:lang w:val="fr-CA"/>
        </w:rPr>
        <w:fldChar w:fldCharType="begin"/>
      </w:r>
      <w:r w:rsidR="000B5DB7" w:rsidRPr="001347F6">
        <w:rPr>
          <w:sz w:val="24"/>
          <w:szCs w:val="24"/>
          <w:highlight w:val="white"/>
          <w:lang w:val="fr-CA"/>
        </w:rPr>
        <w:instrText xml:space="preserve"> TA \s "VCLT," </w:instrText>
      </w:r>
      <w:r w:rsidR="000B5DB7" w:rsidRPr="001347F6">
        <w:rPr>
          <w:sz w:val="24"/>
          <w:szCs w:val="24"/>
          <w:highlight w:val="white"/>
          <w:lang w:val="fr-CA"/>
        </w:rPr>
        <w:fldChar w:fldCharType="end"/>
      </w:r>
      <w:r w:rsidRPr="001347F6">
        <w:rPr>
          <w:sz w:val="24"/>
          <w:szCs w:val="24"/>
          <w:highlight w:val="white"/>
          <w:lang w:val="fr-CA"/>
        </w:rPr>
        <w:t xml:space="preserve"> Art 32.</w:t>
      </w:r>
    </w:p>
    <w:p w14:paraId="18094C6C" w14:textId="77777777" w:rsidR="008C2177" w:rsidRPr="001347F6" w:rsidRDefault="008C2177" w:rsidP="001347F6">
      <w:pPr>
        <w:widowControl/>
        <w:jc w:val="both"/>
        <w:rPr>
          <w:sz w:val="24"/>
          <w:szCs w:val="24"/>
          <w:highlight w:val="white"/>
          <w:lang w:val="fr-CA"/>
        </w:rPr>
      </w:pPr>
    </w:p>
  </w:footnote>
  <w:footnote w:id="86">
    <w:p w14:paraId="37C5812F" w14:textId="6E1F1FA4" w:rsidR="008C2177" w:rsidRPr="001347F6" w:rsidRDefault="00000000" w:rsidP="001347F6">
      <w:pPr>
        <w:widowControl/>
        <w:jc w:val="both"/>
        <w:rPr>
          <w:sz w:val="24"/>
          <w:szCs w:val="24"/>
          <w:highlight w:val="white"/>
        </w:rPr>
      </w:pPr>
      <w:r w:rsidRPr="001347F6">
        <w:rPr>
          <w:sz w:val="24"/>
          <w:szCs w:val="24"/>
          <w:vertAlign w:val="superscript"/>
        </w:rPr>
        <w:footnoteRef/>
      </w:r>
      <w:r w:rsidRPr="001347F6">
        <w:rPr>
          <w:sz w:val="24"/>
          <w:szCs w:val="24"/>
          <w:highlight w:val="white"/>
        </w:rPr>
        <w:t xml:space="preserve"> CRS</w:t>
      </w:r>
      <w:r w:rsidR="00150089" w:rsidRPr="001347F6">
        <w:rPr>
          <w:sz w:val="24"/>
          <w:szCs w:val="24"/>
          <w:highlight w:val="white"/>
        </w:rPr>
        <w:t>,</w:t>
      </w:r>
      <w:r w:rsidR="000E212C" w:rsidRPr="001347F6">
        <w:rPr>
          <w:sz w:val="24"/>
          <w:szCs w:val="24"/>
          <w:highlight w:val="white"/>
        </w:rPr>
        <w:fldChar w:fldCharType="begin"/>
      </w:r>
      <w:r w:rsidR="000E212C" w:rsidRPr="001347F6">
        <w:rPr>
          <w:sz w:val="24"/>
          <w:szCs w:val="24"/>
          <w:highlight w:val="white"/>
        </w:rPr>
        <w:instrText xml:space="preserve"> TA \s "CRS," </w:instrText>
      </w:r>
      <w:r w:rsidR="000E212C" w:rsidRPr="001347F6">
        <w:rPr>
          <w:sz w:val="24"/>
          <w:szCs w:val="24"/>
          <w:highlight w:val="white"/>
        </w:rPr>
        <w:fldChar w:fldCharType="end"/>
      </w:r>
      <w:r w:rsidRPr="001347F6">
        <w:rPr>
          <w:sz w:val="24"/>
          <w:szCs w:val="24"/>
          <w:highlight w:val="white"/>
        </w:rPr>
        <w:t xml:space="preserve"> Preamble; </w:t>
      </w:r>
      <w:r w:rsidR="00791635" w:rsidRPr="001347F6">
        <w:rPr>
          <w:sz w:val="24"/>
          <w:szCs w:val="24"/>
          <w:highlight w:val="white"/>
        </w:rPr>
        <w:t xml:space="preserve">‘United Nations Conference on the Elimination or Reduction of Future Statelessness’ </w:t>
      </w:r>
      <w:r w:rsidR="00791635" w:rsidRPr="001347F6">
        <w:rPr>
          <w:sz w:val="24"/>
          <w:szCs w:val="24"/>
        </w:rPr>
        <w:t>(24 April 1961)</w:t>
      </w:r>
      <w:r w:rsidR="00791635" w:rsidRPr="001347F6">
        <w:rPr>
          <w:sz w:val="24"/>
          <w:szCs w:val="24"/>
          <w:highlight w:val="white"/>
        </w:rPr>
        <w:t xml:space="preserve"> UN Doc A/CONF.9/C.1/SR.2</w:t>
      </w:r>
      <w:r w:rsidR="00A749D7" w:rsidRPr="001347F6">
        <w:rPr>
          <w:sz w:val="24"/>
          <w:szCs w:val="24"/>
          <w:highlight w:val="white"/>
        </w:rPr>
        <w:fldChar w:fldCharType="begin"/>
      </w:r>
      <w:r w:rsidR="00A749D7" w:rsidRPr="001347F6">
        <w:rPr>
          <w:sz w:val="24"/>
          <w:szCs w:val="24"/>
          <w:highlight w:val="white"/>
        </w:rPr>
        <w:instrText xml:space="preserve"> TA \s "A/CONF.9/C.1/SR.2" </w:instrText>
      </w:r>
      <w:r w:rsidR="00A749D7" w:rsidRPr="001347F6">
        <w:rPr>
          <w:sz w:val="24"/>
          <w:szCs w:val="24"/>
          <w:highlight w:val="white"/>
        </w:rPr>
        <w:fldChar w:fldCharType="end"/>
      </w:r>
      <w:r w:rsidRPr="001347F6">
        <w:rPr>
          <w:sz w:val="24"/>
          <w:szCs w:val="24"/>
          <w:highlight w:val="white"/>
        </w:rPr>
        <w:t xml:space="preserve">, p. 3. </w:t>
      </w:r>
    </w:p>
    <w:p w14:paraId="2EF9B986" w14:textId="77777777" w:rsidR="008C2177" w:rsidRPr="001347F6" w:rsidRDefault="008C2177" w:rsidP="001347F6">
      <w:pPr>
        <w:widowControl/>
        <w:jc w:val="both"/>
        <w:rPr>
          <w:sz w:val="24"/>
          <w:szCs w:val="24"/>
        </w:rPr>
      </w:pPr>
    </w:p>
  </w:footnote>
  <w:footnote w:id="87">
    <w:p w14:paraId="3D4F0E2A" w14:textId="2C57658D"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United Nations Treaty Collection, ‘Declarations and Reservations to the 1961 Convention on the Reduction of statelessness’ (12 September 2023) [‘</w:t>
      </w:r>
      <w:r w:rsidRPr="001347F6">
        <w:rPr>
          <w:i/>
          <w:sz w:val="24"/>
          <w:szCs w:val="24"/>
        </w:rPr>
        <w:t>CRS Declarations and Reservations</w:t>
      </w:r>
      <w:r w:rsidRPr="001347F6">
        <w:rPr>
          <w:sz w:val="24"/>
          <w:szCs w:val="24"/>
        </w:rPr>
        <w:t>’]. (Objections from Germany, Netherlands, Finland, Norway, Spain, Sweden)</w:t>
      </w:r>
      <w:r w:rsidR="00791635" w:rsidRPr="001347F6">
        <w:rPr>
          <w:sz w:val="24"/>
          <w:szCs w:val="24"/>
        </w:rPr>
        <w:fldChar w:fldCharType="begin"/>
      </w:r>
      <w:r w:rsidR="00791635" w:rsidRPr="001347F6">
        <w:rPr>
          <w:sz w:val="24"/>
          <w:szCs w:val="24"/>
        </w:rPr>
        <w:instrText xml:space="preserve"> TA \l "United Nations Treaty Collection, ‘Declarations and Reservations to the 1961 Convention on the Reduction of statelessness’ (12 September 2023) [‘</w:instrText>
      </w:r>
      <w:r w:rsidR="00791635" w:rsidRPr="001347F6">
        <w:rPr>
          <w:i/>
          <w:sz w:val="24"/>
          <w:szCs w:val="24"/>
        </w:rPr>
        <w:instrText>CRS Declarations and Reservations</w:instrText>
      </w:r>
      <w:r w:rsidR="00791635" w:rsidRPr="001347F6">
        <w:rPr>
          <w:sz w:val="24"/>
          <w:szCs w:val="24"/>
        </w:rPr>
        <w:instrText xml:space="preserve">’]" \s "CRS Declarations and Reservations" \c 3 </w:instrText>
      </w:r>
      <w:r w:rsidR="00791635" w:rsidRPr="001347F6">
        <w:rPr>
          <w:sz w:val="24"/>
          <w:szCs w:val="24"/>
        </w:rPr>
        <w:fldChar w:fldCharType="end"/>
      </w:r>
      <w:r w:rsidRPr="001347F6">
        <w:rPr>
          <w:sz w:val="24"/>
          <w:szCs w:val="24"/>
        </w:rPr>
        <w:t xml:space="preserve"> pp. 5</w:t>
      </w:r>
      <w:r w:rsidRPr="001347F6">
        <w:rPr>
          <w:sz w:val="24"/>
          <w:szCs w:val="24"/>
          <w:highlight w:val="white"/>
        </w:rPr>
        <w:t>-8.</w:t>
      </w:r>
    </w:p>
    <w:p w14:paraId="1CDF3BD9" w14:textId="77777777" w:rsidR="008C2177" w:rsidRPr="001347F6" w:rsidRDefault="008C2177" w:rsidP="001347F6">
      <w:pPr>
        <w:widowControl/>
        <w:jc w:val="both"/>
        <w:rPr>
          <w:sz w:val="24"/>
          <w:szCs w:val="24"/>
        </w:rPr>
      </w:pPr>
    </w:p>
  </w:footnote>
  <w:footnote w:id="88">
    <w:p w14:paraId="3B07BE76" w14:textId="2FDFA35F"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w:t>
      </w:r>
      <w:r w:rsidRPr="001347F6">
        <w:rPr>
          <w:i/>
          <w:sz w:val="24"/>
          <w:szCs w:val="24"/>
          <w:highlight w:val="white"/>
        </w:rPr>
        <w:t>CRS Declarations and Reservations</w:t>
      </w:r>
      <w:r w:rsidR="00791635" w:rsidRPr="001347F6">
        <w:rPr>
          <w:i/>
          <w:sz w:val="24"/>
          <w:szCs w:val="24"/>
          <w:highlight w:val="white"/>
        </w:rPr>
        <w:fldChar w:fldCharType="begin"/>
      </w:r>
      <w:r w:rsidR="00791635" w:rsidRPr="001347F6">
        <w:rPr>
          <w:i/>
          <w:sz w:val="24"/>
          <w:szCs w:val="24"/>
          <w:highlight w:val="white"/>
        </w:rPr>
        <w:instrText xml:space="preserve"> TA \s "CRS Declarations and Reservations" </w:instrText>
      </w:r>
      <w:r w:rsidR="00791635" w:rsidRPr="001347F6">
        <w:rPr>
          <w:i/>
          <w:sz w:val="24"/>
          <w:szCs w:val="24"/>
          <w:highlight w:val="white"/>
        </w:rPr>
        <w:fldChar w:fldCharType="end"/>
      </w:r>
      <w:r w:rsidRPr="001347F6">
        <w:rPr>
          <w:sz w:val="24"/>
          <w:szCs w:val="24"/>
          <w:highlight w:val="white"/>
        </w:rPr>
        <w:t xml:space="preserve"> (Declaration from the Government of Tunisia) pp. 4.</w:t>
      </w:r>
    </w:p>
    <w:p w14:paraId="33228B69" w14:textId="77777777" w:rsidR="008C2177" w:rsidRPr="001347F6" w:rsidRDefault="008C2177" w:rsidP="001347F6">
      <w:pPr>
        <w:widowControl/>
        <w:jc w:val="both"/>
        <w:rPr>
          <w:sz w:val="24"/>
          <w:szCs w:val="24"/>
        </w:rPr>
      </w:pPr>
    </w:p>
  </w:footnote>
  <w:footnote w:id="89">
    <w:p w14:paraId="4F4B0D1E" w14:textId="77777777" w:rsidR="008C2177" w:rsidRPr="001347F6" w:rsidRDefault="00000000" w:rsidP="001347F6">
      <w:pPr>
        <w:widowControl/>
        <w:jc w:val="both"/>
        <w:rPr>
          <w:sz w:val="24"/>
          <w:szCs w:val="24"/>
          <w:highlight w:val="white"/>
        </w:rPr>
      </w:pPr>
      <w:r w:rsidRPr="001347F6">
        <w:rPr>
          <w:sz w:val="24"/>
          <w:szCs w:val="24"/>
          <w:vertAlign w:val="superscript"/>
        </w:rPr>
        <w:footnoteRef/>
      </w:r>
      <w:r w:rsidRPr="001347F6">
        <w:rPr>
          <w:sz w:val="24"/>
          <w:szCs w:val="24"/>
          <w:highlight w:val="white"/>
        </w:rPr>
        <w:t xml:space="preserve"> Compromis, [62].</w:t>
      </w:r>
    </w:p>
    <w:p w14:paraId="0D4306CD" w14:textId="77777777" w:rsidR="008C2177" w:rsidRPr="001347F6" w:rsidRDefault="008C2177" w:rsidP="001347F6">
      <w:pPr>
        <w:widowControl/>
        <w:jc w:val="both"/>
        <w:rPr>
          <w:sz w:val="24"/>
          <w:szCs w:val="24"/>
          <w:highlight w:val="white"/>
        </w:rPr>
      </w:pPr>
    </w:p>
  </w:footnote>
  <w:footnote w:id="90">
    <w:p w14:paraId="5F68A436" w14:textId="77777777" w:rsidR="008C2177" w:rsidRPr="001347F6" w:rsidRDefault="00000000" w:rsidP="001347F6">
      <w:pPr>
        <w:widowControl/>
        <w:jc w:val="both"/>
        <w:rPr>
          <w:sz w:val="24"/>
          <w:szCs w:val="24"/>
          <w:highlight w:val="white"/>
        </w:rPr>
      </w:pPr>
      <w:r w:rsidRPr="001347F6">
        <w:rPr>
          <w:sz w:val="24"/>
          <w:szCs w:val="24"/>
          <w:vertAlign w:val="superscript"/>
        </w:rPr>
        <w:footnoteRef/>
      </w:r>
      <w:r w:rsidRPr="001347F6">
        <w:rPr>
          <w:sz w:val="24"/>
          <w:szCs w:val="24"/>
        </w:rPr>
        <w:t xml:space="preserve"> Clarifications,</w:t>
      </w:r>
      <w:r w:rsidRPr="001347F6">
        <w:rPr>
          <w:sz w:val="24"/>
          <w:szCs w:val="24"/>
          <w:highlight w:val="white"/>
        </w:rPr>
        <w:t xml:space="preserve"> [10].</w:t>
      </w:r>
    </w:p>
    <w:p w14:paraId="4C709F3B" w14:textId="77777777" w:rsidR="008C2177" w:rsidRPr="001347F6" w:rsidRDefault="008C2177" w:rsidP="001347F6">
      <w:pPr>
        <w:widowControl/>
        <w:jc w:val="both"/>
        <w:rPr>
          <w:sz w:val="24"/>
          <w:szCs w:val="24"/>
        </w:rPr>
      </w:pPr>
    </w:p>
  </w:footnote>
  <w:footnote w:id="91">
    <w:p w14:paraId="17997EB1" w14:textId="3EA6835F"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w:t>
      </w:r>
      <w:r w:rsidRPr="001347F6">
        <w:rPr>
          <w:sz w:val="24"/>
          <w:szCs w:val="24"/>
          <w:highlight w:val="white"/>
        </w:rPr>
        <w:t>ICCPR</w:t>
      </w:r>
      <w:r w:rsidR="000E212C" w:rsidRPr="001347F6">
        <w:rPr>
          <w:sz w:val="24"/>
          <w:szCs w:val="24"/>
          <w:highlight w:val="white"/>
        </w:rPr>
        <w:fldChar w:fldCharType="begin"/>
      </w:r>
      <w:r w:rsidR="000E212C" w:rsidRPr="001347F6">
        <w:rPr>
          <w:sz w:val="24"/>
          <w:szCs w:val="24"/>
          <w:highlight w:val="white"/>
        </w:rPr>
        <w:instrText xml:space="preserve"> TA \s "ICCPR" </w:instrText>
      </w:r>
      <w:r w:rsidR="000E212C" w:rsidRPr="001347F6">
        <w:rPr>
          <w:sz w:val="24"/>
          <w:szCs w:val="24"/>
          <w:highlight w:val="white"/>
        </w:rPr>
        <w:fldChar w:fldCharType="end"/>
      </w:r>
      <w:r w:rsidRPr="001347F6">
        <w:rPr>
          <w:sz w:val="24"/>
          <w:szCs w:val="24"/>
          <w:highlight w:val="white"/>
        </w:rPr>
        <w:t>,</w:t>
      </w:r>
      <w:r w:rsidR="00150089" w:rsidRPr="001347F6">
        <w:rPr>
          <w:sz w:val="24"/>
          <w:szCs w:val="24"/>
          <w:highlight w:val="white"/>
        </w:rPr>
        <w:t xml:space="preserve"> </w:t>
      </w:r>
      <w:r w:rsidRPr="001347F6">
        <w:rPr>
          <w:sz w:val="24"/>
          <w:szCs w:val="24"/>
          <w:highlight w:val="white"/>
        </w:rPr>
        <w:t>Art 19.</w:t>
      </w:r>
    </w:p>
    <w:p w14:paraId="769E011F" w14:textId="77777777" w:rsidR="008C2177" w:rsidRPr="001347F6" w:rsidRDefault="008C2177" w:rsidP="001347F6">
      <w:pPr>
        <w:widowControl/>
        <w:jc w:val="both"/>
        <w:rPr>
          <w:sz w:val="24"/>
          <w:szCs w:val="24"/>
        </w:rPr>
      </w:pPr>
    </w:p>
  </w:footnote>
  <w:footnote w:id="92">
    <w:p w14:paraId="269E04A4" w14:textId="2FF5EB04" w:rsidR="008C2177" w:rsidRPr="001347F6" w:rsidRDefault="00000000" w:rsidP="001347F6">
      <w:pPr>
        <w:widowControl/>
        <w:jc w:val="both"/>
        <w:rPr>
          <w:sz w:val="24"/>
          <w:szCs w:val="24"/>
          <w:highlight w:val="white"/>
        </w:rPr>
      </w:pPr>
      <w:r w:rsidRPr="001347F6">
        <w:rPr>
          <w:sz w:val="24"/>
          <w:szCs w:val="24"/>
          <w:vertAlign w:val="superscript"/>
        </w:rPr>
        <w:footnoteRef/>
      </w:r>
      <w:r w:rsidRPr="001347F6">
        <w:rPr>
          <w:sz w:val="24"/>
          <w:szCs w:val="24"/>
          <w:highlight w:val="white"/>
        </w:rPr>
        <w:t xml:space="preserve"> ICCPR</w:t>
      </w:r>
      <w:r w:rsidR="000E212C" w:rsidRPr="001347F6">
        <w:rPr>
          <w:sz w:val="24"/>
          <w:szCs w:val="24"/>
          <w:highlight w:val="white"/>
        </w:rPr>
        <w:fldChar w:fldCharType="begin"/>
      </w:r>
      <w:r w:rsidR="000E212C" w:rsidRPr="001347F6">
        <w:rPr>
          <w:sz w:val="24"/>
          <w:szCs w:val="24"/>
          <w:highlight w:val="white"/>
        </w:rPr>
        <w:instrText xml:space="preserve"> TA \s "ICCPR" </w:instrText>
      </w:r>
      <w:r w:rsidR="000E212C" w:rsidRPr="001347F6">
        <w:rPr>
          <w:sz w:val="24"/>
          <w:szCs w:val="24"/>
          <w:highlight w:val="white"/>
        </w:rPr>
        <w:fldChar w:fldCharType="end"/>
      </w:r>
      <w:r w:rsidRPr="001347F6">
        <w:rPr>
          <w:sz w:val="24"/>
          <w:szCs w:val="24"/>
          <w:highlight w:val="white"/>
        </w:rPr>
        <w:t>,</w:t>
      </w:r>
      <w:r w:rsidR="00150089" w:rsidRPr="001347F6">
        <w:rPr>
          <w:sz w:val="24"/>
          <w:szCs w:val="24"/>
          <w:highlight w:val="white"/>
        </w:rPr>
        <w:t xml:space="preserve"> </w:t>
      </w:r>
      <w:r w:rsidRPr="001347F6">
        <w:rPr>
          <w:sz w:val="24"/>
          <w:szCs w:val="24"/>
          <w:highlight w:val="white"/>
        </w:rPr>
        <w:t>Art 21.</w:t>
      </w:r>
    </w:p>
    <w:p w14:paraId="1724BD28" w14:textId="77777777" w:rsidR="008C2177" w:rsidRPr="001347F6" w:rsidRDefault="008C2177" w:rsidP="001347F6">
      <w:pPr>
        <w:widowControl/>
        <w:jc w:val="both"/>
        <w:rPr>
          <w:sz w:val="24"/>
          <w:szCs w:val="24"/>
          <w:highlight w:val="white"/>
        </w:rPr>
      </w:pPr>
    </w:p>
  </w:footnote>
  <w:footnote w:id="93">
    <w:p w14:paraId="77795622" w14:textId="430D5FCE" w:rsidR="008C2177" w:rsidRPr="001347F6" w:rsidRDefault="00000000" w:rsidP="001347F6">
      <w:pPr>
        <w:widowControl/>
        <w:jc w:val="both"/>
        <w:rPr>
          <w:sz w:val="24"/>
          <w:szCs w:val="24"/>
          <w:highlight w:val="white"/>
        </w:rPr>
      </w:pPr>
      <w:r w:rsidRPr="001347F6">
        <w:rPr>
          <w:sz w:val="24"/>
          <w:szCs w:val="24"/>
          <w:vertAlign w:val="superscript"/>
        </w:rPr>
        <w:footnoteRef/>
      </w:r>
      <w:r w:rsidRPr="001347F6">
        <w:rPr>
          <w:sz w:val="24"/>
          <w:szCs w:val="24"/>
          <w:highlight w:val="white"/>
        </w:rPr>
        <w:t xml:space="preserve"> ICCPR</w:t>
      </w:r>
      <w:r w:rsidR="000E212C" w:rsidRPr="001347F6">
        <w:rPr>
          <w:sz w:val="24"/>
          <w:szCs w:val="24"/>
          <w:highlight w:val="white"/>
        </w:rPr>
        <w:fldChar w:fldCharType="begin"/>
      </w:r>
      <w:r w:rsidR="000E212C" w:rsidRPr="001347F6">
        <w:rPr>
          <w:sz w:val="24"/>
          <w:szCs w:val="24"/>
          <w:highlight w:val="white"/>
        </w:rPr>
        <w:instrText xml:space="preserve"> TA \s "ICCPR" </w:instrText>
      </w:r>
      <w:r w:rsidR="000E212C" w:rsidRPr="001347F6">
        <w:rPr>
          <w:sz w:val="24"/>
          <w:szCs w:val="24"/>
          <w:highlight w:val="white"/>
        </w:rPr>
        <w:fldChar w:fldCharType="end"/>
      </w:r>
      <w:r w:rsidRPr="001347F6">
        <w:rPr>
          <w:sz w:val="24"/>
          <w:szCs w:val="24"/>
          <w:highlight w:val="white"/>
        </w:rPr>
        <w:t>,</w:t>
      </w:r>
      <w:r w:rsidR="00150089" w:rsidRPr="001347F6">
        <w:rPr>
          <w:sz w:val="24"/>
          <w:szCs w:val="24"/>
          <w:highlight w:val="white"/>
        </w:rPr>
        <w:t xml:space="preserve"> </w:t>
      </w:r>
      <w:r w:rsidRPr="001347F6">
        <w:rPr>
          <w:sz w:val="24"/>
          <w:szCs w:val="24"/>
          <w:highlight w:val="white"/>
        </w:rPr>
        <w:t>Art 19(3), Art 21.</w:t>
      </w:r>
    </w:p>
    <w:p w14:paraId="04EA55CF" w14:textId="77777777" w:rsidR="008C2177" w:rsidRPr="001347F6" w:rsidRDefault="008C2177" w:rsidP="001347F6">
      <w:pPr>
        <w:widowControl/>
        <w:jc w:val="both"/>
        <w:rPr>
          <w:sz w:val="24"/>
          <w:szCs w:val="24"/>
          <w:highlight w:val="white"/>
        </w:rPr>
      </w:pPr>
    </w:p>
  </w:footnote>
  <w:footnote w:id="94">
    <w:p w14:paraId="2CEA98A1" w14:textId="4A3934B5" w:rsidR="008C2177" w:rsidRPr="001347F6" w:rsidRDefault="00000000" w:rsidP="001347F6">
      <w:pPr>
        <w:widowControl/>
        <w:jc w:val="both"/>
        <w:rPr>
          <w:sz w:val="24"/>
          <w:szCs w:val="24"/>
          <w:highlight w:val="white"/>
        </w:rPr>
      </w:pPr>
      <w:r w:rsidRPr="001347F6">
        <w:rPr>
          <w:sz w:val="24"/>
          <w:szCs w:val="24"/>
          <w:vertAlign w:val="superscript"/>
        </w:rPr>
        <w:footnoteRef/>
      </w:r>
      <w:r w:rsidRPr="001347F6">
        <w:rPr>
          <w:sz w:val="24"/>
          <w:szCs w:val="24"/>
          <w:highlight w:val="white"/>
        </w:rPr>
        <w:t xml:space="preserve"> </w:t>
      </w:r>
      <w:r w:rsidRPr="001347F6">
        <w:rPr>
          <w:i/>
          <w:iCs/>
          <w:sz w:val="24"/>
          <w:szCs w:val="24"/>
          <w:highlight w:val="white"/>
        </w:rPr>
        <w:t>Memorial</w:t>
      </w:r>
      <w:r w:rsidR="004C713D" w:rsidRPr="001347F6">
        <w:rPr>
          <w:sz w:val="24"/>
          <w:szCs w:val="24"/>
          <w:highlight w:val="white"/>
        </w:rPr>
        <w:t>,</w:t>
      </w:r>
      <w:r w:rsidRPr="001347F6">
        <w:rPr>
          <w:sz w:val="24"/>
          <w:szCs w:val="24"/>
          <w:highlight w:val="white"/>
        </w:rPr>
        <w:t xml:space="preserve"> II</w:t>
      </w:r>
      <w:r w:rsidR="004C713D" w:rsidRPr="001347F6">
        <w:rPr>
          <w:sz w:val="24"/>
          <w:szCs w:val="24"/>
          <w:highlight w:val="white"/>
        </w:rPr>
        <w:t>.</w:t>
      </w:r>
      <w:r w:rsidRPr="001347F6">
        <w:rPr>
          <w:sz w:val="24"/>
          <w:szCs w:val="24"/>
          <w:highlight w:val="white"/>
        </w:rPr>
        <w:t>A(1)(a).</w:t>
      </w:r>
    </w:p>
    <w:p w14:paraId="3EEE1555" w14:textId="77777777" w:rsidR="008C2177" w:rsidRPr="001347F6" w:rsidRDefault="008C2177" w:rsidP="001347F6">
      <w:pPr>
        <w:widowControl/>
        <w:jc w:val="both"/>
        <w:rPr>
          <w:sz w:val="24"/>
          <w:szCs w:val="24"/>
          <w:highlight w:val="white"/>
        </w:rPr>
      </w:pPr>
    </w:p>
  </w:footnote>
  <w:footnote w:id="95">
    <w:p w14:paraId="4EB5243C" w14:textId="350E074D"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w:t>
      </w:r>
      <w:r w:rsidRPr="001347F6">
        <w:rPr>
          <w:sz w:val="24"/>
          <w:szCs w:val="24"/>
          <w:highlight w:val="white"/>
        </w:rPr>
        <w:t>ICCPR</w:t>
      </w:r>
      <w:r w:rsidR="000E212C" w:rsidRPr="001347F6">
        <w:rPr>
          <w:sz w:val="24"/>
          <w:szCs w:val="24"/>
          <w:highlight w:val="white"/>
        </w:rPr>
        <w:fldChar w:fldCharType="begin"/>
      </w:r>
      <w:r w:rsidR="000E212C" w:rsidRPr="001347F6">
        <w:rPr>
          <w:sz w:val="24"/>
          <w:szCs w:val="24"/>
          <w:highlight w:val="white"/>
        </w:rPr>
        <w:instrText xml:space="preserve"> TA \s "ICCPR" </w:instrText>
      </w:r>
      <w:r w:rsidR="000E212C" w:rsidRPr="001347F6">
        <w:rPr>
          <w:sz w:val="24"/>
          <w:szCs w:val="24"/>
          <w:highlight w:val="white"/>
        </w:rPr>
        <w:fldChar w:fldCharType="end"/>
      </w:r>
      <w:r w:rsidRPr="001347F6">
        <w:rPr>
          <w:sz w:val="24"/>
          <w:szCs w:val="24"/>
          <w:highlight w:val="white"/>
        </w:rPr>
        <w:t>,</w:t>
      </w:r>
      <w:r w:rsidR="00150089" w:rsidRPr="001347F6">
        <w:rPr>
          <w:sz w:val="24"/>
          <w:szCs w:val="24"/>
          <w:highlight w:val="white"/>
        </w:rPr>
        <w:t xml:space="preserve"> </w:t>
      </w:r>
      <w:r w:rsidRPr="001347F6">
        <w:rPr>
          <w:sz w:val="24"/>
          <w:szCs w:val="24"/>
          <w:highlight w:val="white"/>
        </w:rPr>
        <w:t>Art 19(3), Art 21.</w:t>
      </w:r>
    </w:p>
    <w:p w14:paraId="163C0125" w14:textId="77777777" w:rsidR="008C2177" w:rsidRPr="001347F6" w:rsidRDefault="008C2177" w:rsidP="001347F6">
      <w:pPr>
        <w:widowControl/>
        <w:jc w:val="both"/>
        <w:rPr>
          <w:sz w:val="24"/>
          <w:szCs w:val="24"/>
        </w:rPr>
      </w:pPr>
    </w:p>
  </w:footnote>
  <w:footnote w:id="96">
    <w:p w14:paraId="170498C6" w14:textId="030A1275" w:rsidR="008C2177" w:rsidRDefault="00000000" w:rsidP="001347F6">
      <w:pPr>
        <w:widowControl/>
        <w:jc w:val="both"/>
        <w:rPr>
          <w:sz w:val="24"/>
          <w:szCs w:val="24"/>
        </w:rPr>
      </w:pPr>
      <w:r w:rsidRPr="001347F6">
        <w:rPr>
          <w:sz w:val="24"/>
          <w:szCs w:val="24"/>
          <w:vertAlign w:val="superscript"/>
        </w:rPr>
        <w:footnoteRef/>
      </w:r>
      <w:r w:rsidRPr="001347F6">
        <w:rPr>
          <w:sz w:val="24"/>
          <w:szCs w:val="24"/>
          <w:highlight w:val="white"/>
        </w:rPr>
        <w:t xml:space="preserve"> International Commission of Jurists,</w:t>
      </w:r>
      <w:r w:rsidRPr="001347F6">
        <w:rPr>
          <w:i/>
          <w:sz w:val="24"/>
          <w:szCs w:val="24"/>
          <w:highlight w:val="white"/>
        </w:rPr>
        <w:t xml:space="preserve"> Siracusa Principles on the Limitation and Derogation of Provisions in the ICCPR</w:t>
      </w:r>
      <w:r w:rsidR="000E212C" w:rsidRPr="001347F6">
        <w:rPr>
          <w:i/>
          <w:sz w:val="24"/>
          <w:szCs w:val="24"/>
          <w:highlight w:val="white"/>
        </w:rPr>
        <w:fldChar w:fldCharType="begin"/>
      </w:r>
      <w:r w:rsidR="000E212C" w:rsidRPr="001347F6">
        <w:rPr>
          <w:i/>
          <w:sz w:val="24"/>
          <w:szCs w:val="24"/>
          <w:highlight w:val="white"/>
        </w:rPr>
        <w:instrText xml:space="preserve"> TA \s "ICCPR" </w:instrText>
      </w:r>
      <w:r w:rsidR="000E212C" w:rsidRPr="001347F6">
        <w:rPr>
          <w:i/>
          <w:sz w:val="24"/>
          <w:szCs w:val="24"/>
          <w:highlight w:val="white"/>
        </w:rPr>
        <w:fldChar w:fldCharType="end"/>
      </w:r>
      <w:r w:rsidRPr="001347F6">
        <w:rPr>
          <w:sz w:val="24"/>
          <w:szCs w:val="24"/>
          <w:highlight w:val="white"/>
        </w:rPr>
        <w:t xml:space="preserve"> (April 1985) E/CN.4/1985/4</w:t>
      </w:r>
      <w:r w:rsidR="00791635" w:rsidRPr="001347F6">
        <w:rPr>
          <w:sz w:val="24"/>
          <w:szCs w:val="24"/>
          <w:highlight w:val="white"/>
        </w:rPr>
        <w:fldChar w:fldCharType="begin"/>
      </w:r>
      <w:r w:rsidR="00791635" w:rsidRPr="001347F6">
        <w:rPr>
          <w:sz w:val="24"/>
          <w:szCs w:val="24"/>
        </w:rPr>
        <w:instrText xml:space="preserve"> TA \l "</w:instrText>
      </w:r>
      <w:r w:rsidR="00791635" w:rsidRPr="001347F6">
        <w:rPr>
          <w:sz w:val="24"/>
          <w:szCs w:val="24"/>
          <w:highlight w:val="white"/>
        </w:rPr>
        <w:instrText>International Commission of Jurists,</w:instrText>
      </w:r>
      <w:r w:rsidR="00791635" w:rsidRPr="001347F6">
        <w:rPr>
          <w:i/>
          <w:sz w:val="24"/>
          <w:szCs w:val="24"/>
          <w:highlight w:val="white"/>
        </w:rPr>
        <w:instrText xml:space="preserve"> Siracusa Principles on the Limitation and Derogation of Provisions in the ICCPR</w:instrText>
      </w:r>
      <w:r w:rsidR="00791635" w:rsidRPr="001347F6">
        <w:rPr>
          <w:sz w:val="24"/>
          <w:szCs w:val="24"/>
          <w:highlight w:val="white"/>
        </w:rPr>
        <w:instrText xml:space="preserve"> (April 1985) E/CN.4/1985/4</w:instrText>
      </w:r>
      <w:r w:rsidR="00791635" w:rsidRPr="001347F6">
        <w:rPr>
          <w:sz w:val="24"/>
          <w:szCs w:val="24"/>
        </w:rPr>
        <w:instrText xml:space="preserve">" \s "E/CN.4/1985/4" \c 7 </w:instrText>
      </w:r>
      <w:r w:rsidR="00791635" w:rsidRPr="001347F6">
        <w:rPr>
          <w:sz w:val="24"/>
          <w:szCs w:val="24"/>
          <w:highlight w:val="white"/>
        </w:rPr>
        <w:fldChar w:fldCharType="end"/>
      </w:r>
      <w:r w:rsidRPr="001347F6">
        <w:rPr>
          <w:sz w:val="24"/>
          <w:szCs w:val="24"/>
          <w:highlight w:val="white"/>
        </w:rPr>
        <w:t xml:space="preserve"> </w:t>
      </w:r>
      <w:r w:rsidR="003C7FCF" w:rsidRPr="001347F6">
        <w:rPr>
          <w:i/>
          <w:iCs/>
          <w:sz w:val="24"/>
          <w:szCs w:val="24"/>
          <w:highlight w:val="white"/>
        </w:rPr>
        <w:t>[‘Siracusa Principles’</w:t>
      </w:r>
      <w:r w:rsidR="003C7FCF" w:rsidRPr="001347F6">
        <w:rPr>
          <w:sz w:val="24"/>
          <w:szCs w:val="24"/>
          <w:highlight w:val="white"/>
        </w:rPr>
        <w:t xml:space="preserve">] </w:t>
      </w:r>
      <w:r w:rsidRPr="001347F6">
        <w:rPr>
          <w:sz w:val="24"/>
          <w:szCs w:val="24"/>
          <w:highlight w:val="white"/>
        </w:rPr>
        <w:t xml:space="preserve">[29]; </w:t>
      </w:r>
      <w:r w:rsidRPr="001347F6">
        <w:rPr>
          <w:i/>
          <w:sz w:val="24"/>
          <w:szCs w:val="24"/>
          <w:highlight w:val="white"/>
        </w:rPr>
        <w:t>Peringek v. Switzerland</w:t>
      </w:r>
      <w:r w:rsidRPr="001347F6">
        <w:rPr>
          <w:sz w:val="24"/>
          <w:szCs w:val="24"/>
          <w:highlight w:val="white"/>
        </w:rPr>
        <w:t xml:space="preserve">, </w:t>
      </w:r>
      <w:r w:rsidRPr="001347F6">
        <w:rPr>
          <w:sz w:val="24"/>
          <w:szCs w:val="24"/>
        </w:rPr>
        <w:t>(</w:t>
      </w:r>
      <w:r w:rsidR="007D1B71">
        <w:rPr>
          <w:sz w:val="24"/>
          <w:szCs w:val="24"/>
        </w:rPr>
        <w:t>Judgment</w:t>
      </w:r>
      <w:r w:rsidRPr="001347F6">
        <w:rPr>
          <w:sz w:val="24"/>
          <w:szCs w:val="24"/>
        </w:rPr>
        <w:t xml:space="preserve">) </w:t>
      </w:r>
      <w:r w:rsidRPr="001347F6">
        <w:rPr>
          <w:sz w:val="24"/>
          <w:szCs w:val="24"/>
          <w:highlight w:val="white"/>
        </w:rPr>
        <w:t xml:space="preserve">ECHR </w:t>
      </w:r>
      <w:r w:rsidRPr="001347F6">
        <w:rPr>
          <w:sz w:val="24"/>
          <w:szCs w:val="24"/>
        </w:rPr>
        <w:t xml:space="preserve">App. No. </w:t>
      </w:r>
      <w:r w:rsidRPr="001347F6">
        <w:rPr>
          <w:sz w:val="24"/>
          <w:szCs w:val="24"/>
          <w:highlight w:val="white"/>
        </w:rPr>
        <w:t>27510/08 (15 October 2015)</w:t>
      </w:r>
      <w:r w:rsidR="00791635" w:rsidRPr="001347F6">
        <w:rPr>
          <w:sz w:val="24"/>
          <w:szCs w:val="24"/>
          <w:highlight w:val="white"/>
        </w:rPr>
        <w:fldChar w:fldCharType="begin"/>
      </w:r>
      <w:r w:rsidR="00791635" w:rsidRPr="001347F6">
        <w:rPr>
          <w:sz w:val="24"/>
          <w:szCs w:val="24"/>
        </w:rPr>
        <w:instrText xml:space="preserve"> TA \l "</w:instrText>
      </w:r>
      <w:r w:rsidR="00791635" w:rsidRPr="001347F6">
        <w:rPr>
          <w:i/>
          <w:sz w:val="24"/>
          <w:szCs w:val="24"/>
          <w:highlight w:val="white"/>
        </w:rPr>
        <w:instrText>Peringek v. Switzerland</w:instrText>
      </w:r>
      <w:r w:rsidR="00791635" w:rsidRPr="001347F6">
        <w:rPr>
          <w:sz w:val="24"/>
          <w:szCs w:val="24"/>
          <w:highlight w:val="white"/>
        </w:rPr>
        <w:instrText xml:space="preserve">, </w:instrText>
      </w:r>
      <w:r w:rsidR="00791635" w:rsidRPr="001347F6">
        <w:rPr>
          <w:sz w:val="24"/>
          <w:szCs w:val="24"/>
        </w:rPr>
        <w:instrText xml:space="preserve">(Judgement) </w:instrText>
      </w:r>
      <w:r w:rsidR="00791635" w:rsidRPr="001347F6">
        <w:rPr>
          <w:sz w:val="24"/>
          <w:szCs w:val="24"/>
          <w:highlight w:val="white"/>
        </w:rPr>
        <w:instrText xml:space="preserve">ECHR </w:instrText>
      </w:r>
      <w:r w:rsidR="00791635" w:rsidRPr="001347F6">
        <w:rPr>
          <w:sz w:val="24"/>
          <w:szCs w:val="24"/>
        </w:rPr>
        <w:instrText xml:space="preserve">App. No. </w:instrText>
      </w:r>
      <w:r w:rsidR="00791635" w:rsidRPr="001347F6">
        <w:rPr>
          <w:sz w:val="24"/>
          <w:szCs w:val="24"/>
          <w:highlight w:val="white"/>
        </w:rPr>
        <w:instrText>27510/08 (15 October 2015)</w:instrText>
      </w:r>
      <w:r w:rsidR="00791635" w:rsidRPr="001347F6">
        <w:rPr>
          <w:sz w:val="24"/>
          <w:szCs w:val="24"/>
        </w:rPr>
        <w:instrText xml:space="preserve">" \s "Peringek v. Switzerland" \c 4 </w:instrText>
      </w:r>
      <w:r w:rsidR="00791635" w:rsidRPr="001347F6">
        <w:rPr>
          <w:sz w:val="24"/>
          <w:szCs w:val="24"/>
          <w:highlight w:val="white"/>
        </w:rPr>
        <w:fldChar w:fldCharType="end"/>
      </w:r>
      <w:r w:rsidRPr="001347F6">
        <w:rPr>
          <w:sz w:val="24"/>
          <w:szCs w:val="24"/>
        </w:rPr>
        <w:t xml:space="preserve"> [205]. </w:t>
      </w:r>
    </w:p>
    <w:p w14:paraId="03577FB7" w14:textId="77777777" w:rsidR="001347F6" w:rsidRPr="001347F6" w:rsidRDefault="001347F6" w:rsidP="001347F6">
      <w:pPr>
        <w:widowControl/>
        <w:jc w:val="both"/>
        <w:rPr>
          <w:sz w:val="24"/>
          <w:szCs w:val="24"/>
          <w:highlight w:val="white"/>
        </w:rPr>
      </w:pPr>
    </w:p>
    <w:p w14:paraId="26659D7A" w14:textId="77777777" w:rsidR="008C2177" w:rsidRPr="001347F6" w:rsidRDefault="008C2177" w:rsidP="001347F6">
      <w:pPr>
        <w:widowControl/>
        <w:jc w:val="both"/>
        <w:rPr>
          <w:sz w:val="24"/>
          <w:szCs w:val="24"/>
        </w:rPr>
      </w:pPr>
    </w:p>
  </w:footnote>
  <w:footnote w:id="97">
    <w:p w14:paraId="235717FB" w14:textId="33F96AA6" w:rsidR="008C2177" w:rsidRPr="001347F6" w:rsidRDefault="00000000" w:rsidP="001347F6">
      <w:pPr>
        <w:widowControl/>
        <w:jc w:val="both"/>
        <w:rPr>
          <w:sz w:val="24"/>
          <w:szCs w:val="24"/>
          <w:highlight w:val="white"/>
        </w:rPr>
      </w:pPr>
      <w:r w:rsidRPr="001347F6">
        <w:rPr>
          <w:sz w:val="24"/>
          <w:szCs w:val="24"/>
          <w:vertAlign w:val="superscript"/>
        </w:rPr>
        <w:footnoteRef/>
      </w:r>
      <w:r w:rsidRPr="001347F6">
        <w:rPr>
          <w:sz w:val="24"/>
          <w:szCs w:val="24"/>
          <w:highlight w:val="white"/>
        </w:rPr>
        <w:t xml:space="preserve"> </w:t>
      </w:r>
      <w:r w:rsidRPr="001347F6">
        <w:rPr>
          <w:i/>
          <w:sz w:val="24"/>
          <w:szCs w:val="24"/>
          <w:highlight w:val="white"/>
        </w:rPr>
        <w:t xml:space="preserve">Surek v. Turkey </w:t>
      </w:r>
      <w:r w:rsidRPr="001347F6">
        <w:rPr>
          <w:sz w:val="24"/>
          <w:szCs w:val="24"/>
        </w:rPr>
        <w:t>(</w:t>
      </w:r>
      <w:r w:rsidR="007D1B71">
        <w:rPr>
          <w:sz w:val="24"/>
          <w:szCs w:val="24"/>
        </w:rPr>
        <w:t>Judgment</w:t>
      </w:r>
      <w:r w:rsidRPr="001347F6">
        <w:rPr>
          <w:sz w:val="24"/>
          <w:szCs w:val="24"/>
        </w:rPr>
        <w:t xml:space="preserve">) </w:t>
      </w:r>
      <w:r w:rsidRPr="001347F6">
        <w:rPr>
          <w:sz w:val="24"/>
          <w:szCs w:val="24"/>
          <w:highlight w:val="white"/>
        </w:rPr>
        <w:t xml:space="preserve">ECHR </w:t>
      </w:r>
      <w:r w:rsidRPr="001347F6">
        <w:rPr>
          <w:sz w:val="24"/>
          <w:szCs w:val="24"/>
        </w:rPr>
        <w:t xml:space="preserve">App. No. </w:t>
      </w:r>
      <w:r w:rsidRPr="001347F6">
        <w:rPr>
          <w:sz w:val="24"/>
          <w:szCs w:val="24"/>
          <w:highlight w:val="white"/>
        </w:rPr>
        <w:t>24735/94</w:t>
      </w:r>
      <w:r w:rsidRPr="001347F6">
        <w:rPr>
          <w:sz w:val="24"/>
          <w:szCs w:val="24"/>
        </w:rPr>
        <w:t xml:space="preserve"> (</w:t>
      </w:r>
      <w:r w:rsidRPr="001347F6">
        <w:rPr>
          <w:sz w:val="24"/>
          <w:szCs w:val="24"/>
          <w:highlight w:val="white"/>
        </w:rPr>
        <w:t>8 July 1999)</w:t>
      </w:r>
      <w:r w:rsidR="00791635" w:rsidRPr="001347F6">
        <w:rPr>
          <w:sz w:val="24"/>
          <w:szCs w:val="24"/>
          <w:highlight w:val="white"/>
        </w:rPr>
        <w:fldChar w:fldCharType="begin"/>
      </w:r>
      <w:r w:rsidR="00791635" w:rsidRPr="001347F6">
        <w:rPr>
          <w:sz w:val="24"/>
          <w:szCs w:val="24"/>
        </w:rPr>
        <w:instrText xml:space="preserve"> TA \s "Surek v. Turkey" </w:instrText>
      </w:r>
      <w:r w:rsidR="00791635" w:rsidRPr="001347F6">
        <w:rPr>
          <w:sz w:val="24"/>
          <w:szCs w:val="24"/>
          <w:highlight w:val="white"/>
        </w:rPr>
        <w:fldChar w:fldCharType="end"/>
      </w:r>
      <w:r w:rsidRPr="001347F6">
        <w:rPr>
          <w:sz w:val="24"/>
          <w:szCs w:val="24"/>
        </w:rPr>
        <w:t xml:space="preserve"> [4</w:t>
      </w:r>
      <w:r w:rsidR="00113B9B" w:rsidRPr="001347F6">
        <w:rPr>
          <w:sz w:val="24"/>
          <w:szCs w:val="24"/>
        </w:rPr>
        <w:t>9</w:t>
      </w:r>
      <w:r w:rsidRPr="001347F6">
        <w:rPr>
          <w:sz w:val="24"/>
          <w:szCs w:val="24"/>
        </w:rPr>
        <w:t>].</w:t>
      </w:r>
    </w:p>
    <w:p w14:paraId="5F3FB6AC" w14:textId="77777777" w:rsidR="008C2177" w:rsidRPr="001347F6" w:rsidRDefault="008C2177" w:rsidP="001347F6">
      <w:pPr>
        <w:widowControl/>
        <w:jc w:val="both"/>
        <w:rPr>
          <w:sz w:val="24"/>
          <w:szCs w:val="24"/>
          <w:highlight w:val="white"/>
        </w:rPr>
      </w:pPr>
    </w:p>
  </w:footnote>
  <w:footnote w:id="98">
    <w:p w14:paraId="2A4FD10F" w14:textId="77777777" w:rsidR="008C2177" w:rsidRPr="001347F6" w:rsidRDefault="00000000" w:rsidP="001347F6">
      <w:pPr>
        <w:widowControl/>
        <w:jc w:val="both"/>
        <w:rPr>
          <w:sz w:val="24"/>
          <w:szCs w:val="24"/>
          <w:highlight w:val="white"/>
          <w:lang w:val="fr-FR"/>
        </w:rPr>
      </w:pPr>
      <w:r w:rsidRPr="001347F6">
        <w:rPr>
          <w:sz w:val="24"/>
          <w:szCs w:val="24"/>
          <w:vertAlign w:val="superscript"/>
        </w:rPr>
        <w:footnoteRef/>
      </w:r>
      <w:r w:rsidRPr="001347F6">
        <w:rPr>
          <w:sz w:val="24"/>
          <w:szCs w:val="24"/>
          <w:lang w:val="fr-FR"/>
        </w:rPr>
        <w:t xml:space="preserve"> </w:t>
      </w:r>
      <w:r w:rsidRPr="001347F6">
        <w:rPr>
          <w:sz w:val="24"/>
          <w:szCs w:val="24"/>
          <w:highlight w:val="white"/>
          <w:lang w:val="fr-FR"/>
        </w:rPr>
        <w:t>Compromis, [29]-[30]; Clarifications, [6].</w:t>
      </w:r>
    </w:p>
    <w:p w14:paraId="5313E77E" w14:textId="77777777" w:rsidR="008C2177" w:rsidRPr="001347F6" w:rsidRDefault="008C2177" w:rsidP="001347F6">
      <w:pPr>
        <w:widowControl/>
        <w:jc w:val="both"/>
        <w:rPr>
          <w:sz w:val="24"/>
          <w:szCs w:val="24"/>
          <w:lang w:val="fr-FR"/>
        </w:rPr>
      </w:pPr>
    </w:p>
  </w:footnote>
  <w:footnote w:id="99">
    <w:p w14:paraId="3DA4ABB5" w14:textId="77777777" w:rsidR="008C2177" w:rsidRPr="001347F6" w:rsidRDefault="00000000" w:rsidP="001347F6">
      <w:pPr>
        <w:widowControl/>
        <w:jc w:val="both"/>
        <w:rPr>
          <w:sz w:val="24"/>
          <w:szCs w:val="24"/>
          <w:highlight w:val="white"/>
          <w:lang w:val="fr-FR"/>
        </w:rPr>
      </w:pPr>
      <w:r w:rsidRPr="001347F6">
        <w:rPr>
          <w:sz w:val="24"/>
          <w:szCs w:val="24"/>
          <w:vertAlign w:val="superscript"/>
        </w:rPr>
        <w:footnoteRef/>
      </w:r>
      <w:r w:rsidRPr="001347F6">
        <w:rPr>
          <w:sz w:val="24"/>
          <w:szCs w:val="24"/>
          <w:lang w:val="fr-FR"/>
        </w:rPr>
        <w:t xml:space="preserve"> </w:t>
      </w:r>
      <w:r w:rsidRPr="001347F6">
        <w:rPr>
          <w:sz w:val="24"/>
          <w:szCs w:val="24"/>
          <w:highlight w:val="white"/>
          <w:lang w:val="fr-FR"/>
        </w:rPr>
        <w:t>Compromis, [30].</w:t>
      </w:r>
    </w:p>
    <w:p w14:paraId="715C1DE9" w14:textId="77777777" w:rsidR="008C2177" w:rsidRPr="001347F6" w:rsidRDefault="008C2177" w:rsidP="001347F6">
      <w:pPr>
        <w:widowControl/>
        <w:jc w:val="both"/>
        <w:rPr>
          <w:sz w:val="24"/>
          <w:szCs w:val="24"/>
          <w:highlight w:val="white"/>
          <w:lang w:val="fr-FR"/>
        </w:rPr>
      </w:pPr>
    </w:p>
  </w:footnote>
  <w:footnote w:id="100">
    <w:p w14:paraId="3B975FD3" w14:textId="64A617BD" w:rsidR="003C7FCF" w:rsidRPr="001347F6" w:rsidRDefault="003C7FCF" w:rsidP="001347F6">
      <w:pPr>
        <w:pStyle w:val="Textonotapie"/>
        <w:jc w:val="both"/>
        <w:rPr>
          <w:sz w:val="24"/>
          <w:szCs w:val="24"/>
        </w:rPr>
      </w:pPr>
      <w:r w:rsidRPr="001347F6">
        <w:rPr>
          <w:rStyle w:val="Refdenotaalpie"/>
          <w:sz w:val="24"/>
          <w:szCs w:val="24"/>
        </w:rPr>
        <w:footnoteRef/>
      </w:r>
      <w:r w:rsidRPr="001347F6">
        <w:rPr>
          <w:sz w:val="24"/>
          <w:szCs w:val="24"/>
        </w:rPr>
        <w:t xml:space="preserve"> </w:t>
      </w:r>
      <w:r w:rsidR="00113B9B" w:rsidRPr="001347F6">
        <w:rPr>
          <w:sz w:val="24"/>
          <w:szCs w:val="24"/>
        </w:rPr>
        <w:t>ICCPR</w:t>
      </w:r>
      <w:r w:rsidR="000E212C" w:rsidRPr="001347F6">
        <w:rPr>
          <w:sz w:val="24"/>
          <w:szCs w:val="24"/>
        </w:rPr>
        <w:fldChar w:fldCharType="begin"/>
      </w:r>
      <w:r w:rsidR="000E212C" w:rsidRPr="001347F6">
        <w:rPr>
          <w:sz w:val="24"/>
          <w:szCs w:val="24"/>
        </w:rPr>
        <w:instrText xml:space="preserve"> TA \s "ICCPR" </w:instrText>
      </w:r>
      <w:r w:rsidR="000E212C" w:rsidRPr="001347F6">
        <w:rPr>
          <w:sz w:val="24"/>
          <w:szCs w:val="24"/>
        </w:rPr>
        <w:fldChar w:fldCharType="end"/>
      </w:r>
      <w:r w:rsidR="00113B9B" w:rsidRPr="001347F6">
        <w:rPr>
          <w:sz w:val="24"/>
          <w:szCs w:val="24"/>
        </w:rPr>
        <w:t xml:space="preserve">, Art 19(3), Art 21; </w:t>
      </w:r>
      <w:r w:rsidRPr="001347F6">
        <w:rPr>
          <w:i/>
          <w:iCs/>
          <w:sz w:val="24"/>
          <w:szCs w:val="24"/>
          <w:highlight w:val="white"/>
        </w:rPr>
        <w:t>Siracusa Principles</w:t>
      </w:r>
      <w:r w:rsidR="00CA4409" w:rsidRPr="001347F6">
        <w:rPr>
          <w:i/>
          <w:iCs/>
          <w:sz w:val="24"/>
          <w:szCs w:val="24"/>
          <w:highlight w:val="white"/>
        </w:rPr>
        <w:fldChar w:fldCharType="begin"/>
      </w:r>
      <w:r w:rsidR="00CA4409" w:rsidRPr="001347F6">
        <w:rPr>
          <w:sz w:val="24"/>
          <w:szCs w:val="24"/>
        </w:rPr>
        <w:instrText xml:space="preserve"> TA \s "E/CN.4/1985/4" </w:instrText>
      </w:r>
      <w:r w:rsidR="00CA4409" w:rsidRPr="001347F6">
        <w:rPr>
          <w:i/>
          <w:iCs/>
          <w:sz w:val="24"/>
          <w:szCs w:val="24"/>
          <w:highlight w:val="white"/>
        </w:rPr>
        <w:fldChar w:fldCharType="end"/>
      </w:r>
      <w:r w:rsidRPr="001347F6">
        <w:rPr>
          <w:sz w:val="24"/>
          <w:szCs w:val="24"/>
          <w:highlight w:val="white"/>
        </w:rPr>
        <w:t xml:space="preserve"> [2</w:t>
      </w:r>
      <w:r w:rsidR="00113B9B" w:rsidRPr="001347F6">
        <w:rPr>
          <w:sz w:val="24"/>
          <w:szCs w:val="24"/>
          <w:highlight w:val="white"/>
        </w:rPr>
        <w:t>2</w:t>
      </w:r>
      <w:r w:rsidRPr="001347F6">
        <w:rPr>
          <w:sz w:val="24"/>
          <w:szCs w:val="24"/>
          <w:highlight w:val="white"/>
        </w:rPr>
        <w:t>]</w:t>
      </w:r>
      <w:r w:rsidRPr="001347F6">
        <w:rPr>
          <w:sz w:val="24"/>
          <w:szCs w:val="24"/>
        </w:rPr>
        <w:t>.</w:t>
      </w:r>
    </w:p>
    <w:p w14:paraId="2B5F9B8D" w14:textId="77777777" w:rsidR="003C7FCF" w:rsidRPr="001347F6" w:rsidRDefault="003C7FCF" w:rsidP="001347F6">
      <w:pPr>
        <w:pStyle w:val="Textonotapie"/>
        <w:jc w:val="both"/>
        <w:rPr>
          <w:sz w:val="24"/>
          <w:szCs w:val="24"/>
        </w:rPr>
      </w:pPr>
    </w:p>
  </w:footnote>
  <w:footnote w:id="101">
    <w:p w14:paraId="75F467B5" w14:textId="33199CC8" w:rsidR="008C2177" w:rsidRPr="001347F6" w:rsidRDefault="00000000" w:rsidP="001347F6">
      <w:pPr>
        <w:widowControl/>
        <w:jc w:val="both"/>
        <w:rPr>
          <w:sz w:val="24"/>
          <w:szCs w:val="24"/>
          <w:highlight w:val="white"/>
          <w:lang w:val="fr-FR"/>
        </w:rPr>
      </w:pPr>
      <w:r w:rsidRPr="001347F6">
        <w:rPr>
          <w:sz w:val="24"/>
          <w:szCs w:val="24"/>
          <w:vertAlign w:val="superscript"/>
        </w:rPr>
        <w:footnoteRef/>
      </w:r>
      <w:r w:rsidRPr="001347F6">
        <w:rPr>
          <w:sz w:val="24"/>
          <w:szCs w:val="24"/>
          <w:highlight w:val="white"/>
          <w:lang w:val="fr-FR"/>
        </w:rPr>
        <w:t xml:space="preserve"> </w:t>
      </w:r>
      <w:r w:rsidRPr="001347F6">
        <w:rPr>
          <w:sz w:val="24"/>
          <w:szCs w:val="24"/>
          <w:lang w:val="fr-FR"/>
        </w:rPr>
        <w:t>General Comment 37</w:t>
      </w:r>
      <w:r w:rsidR="00F66AB9" w:rsidRPr="001347F6">
        <w:rPr>
          <w:sz w:val="24"/>
          <w:szCs w:val="24"/>
          <w:lang w:val="fr-CA"/>
        </w:rPr>
        <w:fldChar w:fldCharType="begin"/>
      </w:r>
      <w:r w:rsidR="00F66AB9" w:rsidRPr="001347F6">
        <w:rPr>
          <w:sz w:val="24"/>
          <w:szCs w:val="24"/>
          <w:lang w:val="fr-FR"/>
        </w:rPr>
        <w:instrText xml:space="preserve"> TA \s "General Comment 37" </w:instrText>
      </w:r>
      <w:r w:rsidR="00F66AB9" w:rsidRPr="001347F6">
        <w:rPr>
          <w:sz w:val="24"/>
          <w:szCs w:val="24"/>
          <w:lang w:val="fr-CA"/>
        </w:rPr>
        <w:fldChar w:fldCharType="end"/>
      </w:r>
      <w:r w:rsidRPr="001347F6">
        <w:rPr>
          <w:sz w:val="24"/>
          <w:szCs w:val="24"/>
          <w:lang w:val="fr-FR"/>
        </w:rPr>
        <w:t>,</w:t>
      </w:r>
      <w:r w:rsidRPr="001347F6">
        <w:rPr>
          <w:sz w:val="24"/>
          <w:szCs w:val="24"/>
          <w:highlight w:val="white"/>
          <w:lang w:val="fr-FR"/>
        </w:rPr>
        <w:t xml:space="preserve"> </w:t>
      </w:r>
      <w:r w:rsidRPr="001347F6">
        <w:rPr>
          <w:sz w:val="24"/>
          <w:szCs w:val="24"/>
          <w:lang w:val="fr-FR"/>
        </w:rPr>
        <w:t>[44].</w:t>
      </w:r>
    </w:p>
    <w:p w14:paraId="3C3B7288" w14:textId="77777777" w:rsidR="008C2177" w:rsidRPr="001347F6" w:rsidRDefault="008C2177" w:rsidP="001347F6">
      <w:pPr>
        <w:widowControl/>
        <w:jc w:val="both"/>
        <w:rPr>
          <w:sz w:val="24"/>
          <w:szCs w:val="24"/>
          <w:highlight w:val="white"/>
          <w:lang w:val="fr-FR"/>
        </w:rPr>
      </w:pPr>
    </w:p>
  </w:footnote>
  <w:footnote w:id="102">
    <w:p w14:paraId="4FA594E9" w14:textId="40CEF3A2" w:rsidR="008C2177" w:rsidRPr="007D1B71" w:rsidRDefault="00000000" w:rsidP="001347F6">
      <w:pPr>
        <w:widowControl/>
        <w:jc w:val="both"/>
        <w:rPr>
          <w:sz w:val="24"/>
          <w:szCs w:val="24"/>
          <w:highlight w:val="white"/>
        </w:rPr>
      </w:pPr>
      <w:r w:rsidRPr="001347F6">
        <w:rPr>
          <w:sz w:val="24"/>
          <w:szCs w:val="24"/>
          <w:vertAlign w:val="superscript"/>
        </w:rPr>
        <w:footnoteRef/>
      </w:r>
      <w:r w:rsidRPr="007D1B71">
        <w:rPr>
          <w:sz w:val="24"/>
          <w:szCs w:val="24"/>
          <w:highlight w:val="white"/>
        </w:rPr>
        <w:t xml:space="preserve"> </w:t>
      </w:r>
      <w:r w:rsidRPr="007D1B71">
        <w:rPr>
          <w:i/>
          <w:sz w:val="24"/>
          <w:szCs w:val="24"/>
          <w:highlight w:val="white"/>
        </w:rPr>
        <w:t xml:space="preserve">Gul v. Turkey </w:t>
      </w:r>
      <w:r w:rsidRPr="007D1B71">
        <w:rPr>
          <w:sz w:val="24"/>
          <w:szCs w:val="24"/>
        </w:rPr>
        <w:t>(</w:t>
      </w:r>
      <w:r w:rsidR="007D1B71" w:rsidRPr="007D1B71">
        <w:rPr>
          <w:sz w:val="24"/>
          <w:szCs w:val="24"/>
        </w:rPr>
        <w:t>Judgment</w:t>
      </w:r>
      <w:r w:rsidRPr="007D1B71">
        <w:rPr>
          <w:sz w:val="24"/>
          <w:szCs w:val="24"/>
        </w:rPr>
        <w:t xml:space="preserve">) </w:t>
      </w:r>
      <w:r w:rsidRPr="007D1B71">
        <w:rPr>
          <w:sz w:val="24"/>
          <w:szCs w:val="24"/>
          <w:highlight w:val="white"/>
        </w:rPr>
        <w:t xml:space="preserve">ECHR </w:t>
      </w:r>
      <w:r w:rsidRPr="007D1B71">
        <w:rPr>
          <w:sz w:val="24"/>
          <w:szCs w:val="24"/>
        </w:rPr>
        <w:t xml:space="preserve">App. No. </w:t>
      </w:r>
      <w:r w:rsidRPr="007D1B71">
        <w:rPr>
          <w:sz w:val="24"/>
          <w:szCs w:val="24"/>
          <w:highlight w:val="white"/>
        </w:rPr>
        <w:t>4870/02</w:t>
      </w:r>
      <w:r w:rsidRPr="007D1B71">
        <w:rPr>
          <w:sz w:val="24"/>
          <w:szCs w:val="24"/>
        </w:rPr>
        <w:t xml:space="preserve"> (</w:t>
      </w:r>
      <w:r w:rsidRPr="007D1B71">
        <w:rPr>
          <w:sz w:val="24"/>
          <w:szCs w:val="24"/>
          <w:highlight w:val="white"/>
        </w:rPr>
        <w:t>8 June 2010</w:t>
      </w:r>
      <w:r w:rsidRPr="007D1B71">
        <w:rPr>
          <w:sz w:val="24"/>
          <w:szCs w:val="24"/>
        </w:rPr>
        <w:t>)</w:t>
      </w:r>
      <w:r w:rsidR="00791635" w:rsidRPr="001347F6">
        <w:rPr>
          <w:sz w:val="24"/>
          <w:szCs w:val="24"/>
        </w:rPr>
        <w:fldChar w:fldCharType="begin"/>
      </w:r>
      <w:r w:rsidR="00791635" w:rsidRPr="007D1B71">
        <w:rPr>
          <w:sz w:val="24"/>
          <w:szCs w:val="24"/>
        </w:rPr>
        <w:instrText xml:space="preserve"> TA \l "</w:instrText>
      </w:r>
      <w:r w:rsidR="00791635" w:rsidRPr="007D1B71">
        <w:rPr>
          <w:i/>
          <w:sz w:val="24"/>
          <w:szCs w:val="24"/>
          <w:highlight w:val="white"/>
        </w:rPr>
        <w:instrText xml:space="preserve">Gul v. Turkey </w:instrText>
      </w:r>
      <w:r w:rsidR="00791635" w:rsidRPr="007D1B71">
        <w:rPr>
          <w:sz w:val="24"/>
          <w:szCs w:val="24"/>
        </w:rPr>
        <w:instrText xml:space="preserve">(Judgement) </w:instrText>
      </w:r>
      <w:r w:rsidR="00791635" w:rsidRPr="007D1B71">
        <w:rPr>
          <w:sz w:val="24"/>
          <w:szCs w:val="24"/>
          <w:highlight w:val="white"/>
        </w:rPr>
        <w:instrText xml:space="preserve">ECHR </w:instrText>
      </w:r>
      <w:r w:rsidR="00791635" w:rsidRPr="007D1B71">
        <w:rPr>
          <w:sz w:val="24"/>
          <w:szCs w:val="24"/>
        </w:rPr>
        <w:instrText xml:space="preserve">App. No. </w:instrText>
      </w:r>
      <w:r w:rsidR="00791635" w:rsidRPr="007D1B71">
        <w:rPr>
          <w:sz w:val="24"/>
          <w:szCs w:val="24"/>
          <w:highlight w:val="white"/>
        </w:rPr>
        <w:instrText>4870/02</w:instrText>
      </w:r>
      <w:r w:rsidR="00791635" w:rsidRPr="007D1B71">
        <w:rPr>
          <w:sz w:val="24"/>
          <w:szCs w:val="24"/>
        </w:rPr>
        <w:instrText xml:space="preserve"> (</w:instrText>
      </w:r>
      <w:r w:rsidR="00791635" w:rsidRPr="007D1B71">
        <w:rPr>
          <w:sz w:val="24"/>
          <w:szCs w:val="24"/>
          <w:highlight w:val="white"/>
        </w:rPr>
        <w:instrText>8 June 2010</w:instrText>
      </w:r>
      <w:r w:rsidR="00791635" w:rsidRPr="007D1B71">
        <w:rPr>
          <w:sz w:val="24"/>
          <w:szCs w:val="24"/>
        </w:rPr>
        <w:instrText xml:space="preserve">)" \s "Gul v. Turkey" \c 4 </w:instrText>
      </w:r>
      <w:r w:rsidR="00791635" w:rsidRPr="001347F6">
        <w:rPr>
          <w:sz w:val="24"/>
          <w:szCs w:val="24"/>
        </w:rPr>
        <w:fldChar w:fldCharType="end"/>
      </w:r>
      <w:r w:rsidRPr="007D1B71">
        <w:rPr>
          <w:sz w:val="24"/>
          <w:szCs w:val="24"/>
        </w:rPr>
        <w:t xml:space="preserve"> [42]. </w:t>
      </w:r>
    </w:p>
    <w:p w14:paraId="1E4E8FC1" w14:textId="77777777" w:rsidR="008C2177" w:rsidRPr="007D1B71" w:rsidRDefault="008C2177" w:rsidP="001347F6">
      <w:pPr>
        <w:widowControl/>
        <w:jc w:val="both"/>
        <w:rPr>
          <w:sz w:val="24"/>
          <w:szCs w:val="24"/>
          <w:highlight w:val="white"/>
        </w:rPr>
      </w:pPr>
    </w:p>
  </w:footnote>
  <w:footnote w:id="103">
    <w:p w14:paraId="46EDA22D" w14:textId="77777777" w:rsidR="008C2177" w:rsidRPr="001347F6" w:rsidRDefault="00000000" w:rsidP="001347F6">
      <w:pPr>
        <w:widowControl/>
        <w:jc w:val="both"/>
        <w:rPr>
          <w:sz w:val="24"/>
          <w:szCs w:val="24"/>
          <w:lang w:val="fr-FR"/>
        </w:rPr>
      </w:pPr>
      <w:r w:rsidRPr="001347F6">
        <w:rPr>
          <w:sz w:val="24"/>
          <w:szCs w:val="24"/>
          <w:vertAlign w:val="superscript"/>
        </w:rPr>
        <w:footnoteRef/>
      </w:r>
      <w:r w:rsidRPr="001347F6">
        <w:rPr>
          <w:sz w:val="24"/>
          <w:szCs w:val="24"/>
          <w:lang w:val="fr-FR"/>
        </w:rPr>
        <w:t xml:space="preserve"> Compromis, [32].</w:t>
      </w:r>
    </w:p>
    <w:p w14:paraId="257361A1" w14:textId="77777777" w:rsidR="008C2177" w:rsidRDefault="008C2177" w:rsidP="001347F6">
      <w:pPr>
        <w:widowControl/>
        <w:jc w:val="both"/>
        <w:rPr>
          <w:sz w:val="24"/>
          <w:szCs w:val="24"/>
          <w:lang w:val="fr-FR"/>
        </w:rPr>
      </w:pPr>
    </w:p>
    <w:p w14:paraId="641CE1F9" w14:textId="77777777" w:rsidR="001347F6" w:rsidRPr="001347F6" w:rsidRDefault="001347F6" w:rsidP="001347F6">
      <w:pPr>
        <w:widowControl/>
        <w:jc w:val="both"/>
        <w:rPr>
          <w:sz w:val="24"/>
          <w:szCs w:val="24"/>
          <w:lang w:val="fr-FR"/>
        </w:rPr>
      </w:pPr>
    </w:p>
  </w:footnote>
  <w:footnote w:id="104">
    <w:p w14:paraId="567529B0" w14:textId="0B8E1B50" w:rsidR="008C2177" w:rsidRPr="001347F6" w:rsidRDefault="00000000" w:rsidP="001347F6">
      <w:pPr>
        <w:widowControl/>
        <w:jc w:val="both"/>
        <w:rPr>
          <w:sz w:val="24"/>
          <w:szCs w:val="24"/>
          <w:lang w:val="fr-FR"/>
        </w:rPr>
      </w:pPr>
      <w:r w:rsidRPr="001347F6">
        <w:rPr>
          <w:sz w:val="24"/>
          <w:szCs w:val="24"/>
          <w:vertAlign w:val="superscript"/>
        </w:rPr>
        <w:footnoteRef/>
      </w:r>
      <w:r w:rsidRPr="001347F6">
        <w:rPr>
          <w:sz w:val="24"/>
          <w:szCs w:val="24"/>
          <w:lang w:val="fr-FR"/>
        </w:rPr>
        <w:t xml:space="preserve"> General Comment 37</w:t>
      </w:r>
      <w:r w:rsidR="00F66AB9" w:rsidRPr="001347F6">
        <w:rPr>
          <w:sz w:val="24"/>
          <w:szCs w:val="24"/>
          <w:lang w:val="fr-CA"/>
        </w:rPr>
        <w:fldChar w:fldCharType="begin"/>
      </w:r>
      <w:r w:rsidR="00F66AB9" w:rsidRPr="001347F6">
        <w:rPr>
          <w:sz w:val="24"/>
          <w:szCs w:val="24"/>
          <w:lang w:val="fr-FR"/>
        </w:rPr>
        <w:instrText xml:space="preserve"> TA \s "General Comment 37" </w:instrText>
      </w:r>
      <w:r w:rsidR="00F66AB9" w:rsidRPr="001347F6">
        <w:rPr>
          <w:sz w:val="24"/>
          <w:szCs w:val="24"/>
          <w:lang w:val="fr-CA"/>
        </w:rPr>
        <w:fldChar w:fldCharType="end"/>
      </w:r>
      <w:r w:rsidRPr="001347F6">
        <w:rPr>
          <w:sz w:val="24"/>
          <w:szCs w:val="24"/>
          <w:lang w:val="fr-FR"/>
        </w:rPr>
        <w:t>, [46].</w:t>
      </w:r>
    </w:p>
    <w:p w14:paraId="67CD3AB9" w14:textId="77777777" w:rsidR="008C2177" w:rsidRPr="001347F6" w:rsidRDefault="008C2177" w:rsidP="001347F6">
      <w:pPr>
        <w:widowControl/>
        <w:jc w:val="both"/>
        <w:rPr>
          <w:sz w:val="24"/>
          <w:szCs w:val="24"/>
          <w:lang w:val="fr-FR"/>
        </w:rPr>
      </w:pPr>
    </w:p>
  </w:footnote>
  <w:footnote w:id="105">
    <w:p w14:paraId="4752B9BA" w14:textId="239D4CAA" w:rsidR="008C2177" w:rsidRPr="001347F6" w:rsidRDefault="00000000" w:rsidP="001347F6">
      <w:pPr>
        <w:widowControl/>
        <w:jc w:val="both"/>
        <w:rPr>
          <w:sz w:val="24"/>
          <w:szCs w:val="24"/>
          <w:lang w:val="fr-FR"/>
        </w:rPr>
      </w:pPr>
      <w:r w:rsidRPr="001347F6">
        <w:rPr>
          <w:sz w:val="24"/>
          <w:szCs w:val="24"/>
          <w:vertAlign w:val="superscript"/>
        </w:rPr>
        <w:footnoteRef/>
      </w:r>
      <w:r w:rsidRPr="001347F6">
        <w:rPr>
          <w:sz w:val="24"/>
          <w:szCs w:val="24"/>
          <w:lang w:val="fr-FR"/>
        </w:rPr>
        <w:t xml:space="preserve"> HRComm ‘Communication No. 061/1979 - Leo Hertzberg et al. v. Finland’ (02 Apr 1982) UN Doc CCPR/C/OP/1</w:t>
      </w:r>
      <w:r w:rsidR="00791635" w:rsidRPr="001347F6">
        <w:rPr>
          <w:sz w:val="24"/>
          <w:szCs w:val="24"/>
          <w:lang w:val="fr-CA"/>
        </w:rPr>
        <w:fldChar w:fldCharType="begin"/>
      </w:r>
      <w:r w:rsidR="00791635" w:rsidRPr="001347F6">
        <w:rPr>
          <w:sz w:val="24"/>
          <w:szCs w:val="24"/>
          <w:lang w:val="fr-FR"/>
        </w:rPr>
        <w:instrText xml:space="preserve"> TA \l "HRComm ‘Communication No. 061/1979 - Leo Hertzberg et al. v. Finland’ (02 Apr 1982) UN Doc CCPR/C/OP/1" \s "UN Doc CCPR/C/OP/1" \c 3 </w:instrText>
      </w:r>
      <w:r w:rsidR="00791635" w:rsidRPr="001347F6">
        <w:rPr>
          <w:sz w:val="24"/>
          <w:szCs w:val="24"/>
          <w:lang w:val="fr-CA"/>
        </w:rPr>
        <w:fldChar w:fldCharType="end"/>
      </w:r>
      <w:r w:rsidRPr="001347F6">
        <w:rPr>
          <w:sz w:val="24"/>
          <w:szCs w:val="24"/>
          <w:lang w:val="fr-FR"/>
        </w:rPr>
        <w:t xml:space="preserve"> [2.1].</w:t>
      </w:r>
    </w:p>
    <w:p w14:paraId="4BABEB56" w14:textId="77777777" w:rsidR="008C2177" w:rsidRPr="001347F6" w:rsidRDefault="008C2177" w:rsidP="001347F6">
      <w:pPr>
        <w:widowControl/>
        <w:jc w:val="both"/>
        <w:rPr>
          <w:sz w:val="24"/>
          <w:szCs w:val="24"/>
          <w:lang w:val="fr-FR"/>
        </w:rPr>
      </w:pPr>
    </w:p>
  </w:footnote>
  <w:footnote w:id="106">
    <w:p w14:paraId="1D70291F" w14:textId="0677C051"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General Comment 34</w:t>
      </w:r>
      <w:r w:rsidR="00F66AB9" w:rsidRPr="001347F6">
        <w:rPr>
          <w:sz w:val="24"/>
          <w:szCs w:val="24"/>
        </w:rPr>
        <w:fldChar w:fldCharType="begin"/>
      </w:r>
      <w:r w:rsidR="00F66AB9" w:rsidRPr="001347F6">
        <w:rPr>
          <w:sz w:val="24"/>
          <w:szCs w:val="24"/>
        </w:rPr>
        <w:instrText xml:space="preserve"> TA \s "General Comment 34" </w:instrText>
      </w:r>
      <w:r w:rsidR="00F66AB9" w:rsidRPr="001347F6">
        <w:rPr>
          <w:sz w:val="24"/>
          <w:szCs w:val="24"/>
        </w:rPr>
        <w:fldChar w:fldCharType="end"/>
      </w:r>
      <w:r w:rsidRPr="001347F6">
        <w:rPr>
          <w:sz w:val="24"/>
          <w:szCs w:val="24"/>
        </w:rPr>
        <w:t>, [32].</w:t>
      </w:r>
    </w:p>
    <w:p w14:paraId="72E64CCC" w14:textId="77777777" w:rsidR="008C2177" w:rsidRPr="001347F6" w:rsidRDefault="008C2177" w:rsidP="001347F6">
      <w:pPr>
        <w:widowControl/>
        <w:jc w:val="both"/>
        <w:rPr>
          <w:sz w:val="24"/>
          <w:szCs w:val="24"/>
        </w:rPr>
      </w:pPr>
    </w:p>
  </w:footnote>
  <w:footnote w:id="107">
    <w:p w14:paraId="081D1357" w14:textId="20A55B75"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HRComm ‘Communication No. </w:t>
      </w:r>
      <w:r w:rsidRPr="001347F6">
        <w:rPr>
          <w:color w:val="212529"/>
          <w:sz w:val="24"/>
          <w:szCs w:val="24"/>
        </w:rPr>
        <w:t>2318/2013</w:t>
      </w:r>
      <w:r w:rsidRPr="001347F6">
        <w:rPr>
          <w:sz w:val="24"/>
          <w:szCs w:val="24"/>
        </w:rPr>
        <w:t xml:space="preserve"> - Kirill Nepomnyashchiy v Russia’ (</w:t>
      </w:r>
      <w:r w:rsidRPr="001347F6">
        <w:rPr>
          <w:color w:val="212529"/>
          <w:sz w:val="24"/>
          <w:szCs w:val="24"/>
          <w:highlight w:val="white"/>
        </w:rPr>
        <w:t>17 July 2018</w:t>
      </w:r>
      <w:r w:rsidRPr="001347F6">
        <w:rPr>
          <w:sz w:val="24"/>
          <w:szCs w:val="24"/>
        </w:rPr>
        <w:t>) UN Doc CCPR/C/123/D/2318/2013</w:t>
      </w:r>
      <w:r w:rsidR="00862979" w:rsidRPr="001347F6">
        <w:rPr>
          <w:sz w:val="24"/>
          <w:szCs w:val="24"/>
        </w:rPr>
        <w:fldChar w:fldCharType="begin"/>
      </w:r>
      <w:r w:rsidR="00862979" w:rsidRPr="001347F6">
        <w:rPr>
          <w:sz w:val="24"/>
          <w:szCs w:val="24"/>
        </w:rPr>
        <w:instrText xml:space="preserve"> TA \l "HRComm ‘Communication No. </w:instrText>
      </w:r>
      <w:r w:rsidR="00862979" w:rsidRPr="001347F6">
        <w:rPr>
          <w:color w:val="212529"/>
          <w:sz w:val="24"/>
          <w:szCs w:val="24"/>
        </w:rPr>
        <w:instrText>2318/2013</w:instrText>
      </w:r>
      <w:r w:rsidR="00862979" w:rsidRPr="001347F6">
        <w:rPr>
          <w:sz w:val="24"/>
          <w:szCs w:val="24"/>
        </w:rPr>
        <w:instrText xml:space="preserve"> - Kirill Nepomnyashchiy v Russia’ (</w:instrText>
      </w:r>
      <w:r w:rsidR="00862979" w:rsidRPr="001347F6">
        <w:rPr>
          <w:color w:val="212529"/>
          <w:sz w:val="24"/>
          <w:szCs w:val="24"/>
          <w:highlight w:val="white"/>
        </w:rPr>
        <w:instrText>17 July 2018</w:instrText>
      </w:r>
      <w:r w:rsidR="00862979" w:rsidRPr="001347F6">
        <w:rPr>
          <w:sz w:val="24"/>
          <w:szCs w:val="24"/>
        </w:rPr>
        <w:instrText xml:space="preserve">) UN Doc CCPR/C/123/D/2318/2013" \s "UN Doc CCPR/C/123/D/2318/2013" \c 3 </w:instrText>
      </w:r>
      <w:r w:rsidR="00862979" w:rsidRPr="001347F6">
        <w:rPr>
          <w:sz w:val="24"/>
          <w:szCs w:val="24"/>
        </w:rPr>
        <w:fldChar w:fldCharType="end"/>
      </w:r>
      <w:r w:rsidRPr="001347F6">
        <w:rPr>
          <w:sz w:val="24"/>
          <w:szCs w:val="24"/>
        </w:rPr>
        <w:t xml:space="preserve"> [</w:t>
      </w:r>
      <w:r w:rsidRPr="001347F6">
        <w:rPr>
          <w:sz w:val="24"/>
          <w:szCs w:val="24"/>
          <w:highlight w:val="white"/>
        </w:rPr>
        <w:t>7.8</w:t>
      </w:r>
      <w:r w:rsidRPr="001347F6">
        <w:rPr>
          <w:sz w:val="24"/>
          <w:szCs w:val="24"/>
        </w:rPr>
        <w:t>].</w:t>
      </w:r>
    </w:p>
    <w:p w14:paraId="5E7BB35D" w14:textId="77777777" w:rsidR="008C2177" w:rsidRPr="001347F6" w:rsidRDefault="008C2177" w:rsidP="001347F6">
      <w:pPr>
        <w:widowControl/>
        <w:jc w:val="both"/>
        <w:rPr>
          <w:sz w:val="24"/>
          <w:szCs w:val="24"/>
        </w:rPr>
      </w:pPr>
    </w:p>
  </w:footnote>
  <w:footnote w:id="108">
    <w:p w14:paraId="4A9CF0EB" w14:textId="77777777"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Compromis, [5]. </w:t>
      </w:r>
    </w:p>
    <w:p w14:paraId="01D34410" w14:textId="77777777" w:rsidR="008C2177" w:rsidRPr="001347F6" w:rsidRDefault="008C2177" w:rsidP="001347F6">
      <w:pPr>
        <w:widowControl/>
        <w:jc w:val="both"/>
        <w:rPr>
          <w:sz w:val="24"/>
          <w:szCs w:val="24"/>
        </w:rPr>
      </w:pPr>
    </w:p>
  </w:footnote>
  <w:footnote w:id="109">
    <w:p w14:paraId="20E6C160" w14:textId="0E22D7FD" w:rsidR="008C2177" w:rsidRPr="001347F6" w:rsidRDefault="00000000" w:rsidP="001347F6">
      <w:pPr>
        <w:jc w:val="both"/>
        <w:rPr>
          <w:sz w:val="24"/>
          <w:szCs w:val="24"/>
          <w:highlight w:val="white"/>
        </w:rPr>
      </w:pPr>
      <w:r w:rsidRPr="001347F6">
        <w:rPr>
          <w:sz w:val="24"/>
          <w:szCs w:val="24"/>
          <w:vertAlign w:val="superscript"/>
        </w:rPr>
        <w:footnoteRef/>
      </w:r>
      <w:r w:rsidRPr="001347F6">
        <w:rPr>
          <w:sz w:val="24"/>
          <w:szCs w:val="24"/>
        </w:rPr>
        <w:t xml:space="preserve"> </w:t>
      </w:r>
      <w:r w:rsidRPr="001347F6">
        <w:rPr>
          <w:i/>
          <w:sz w:val="24"/>
          <w:szCs w:val="24"/>
          <w:highlight w:val="white"/>
        </w:rPr>
        <w:t>Case of Ivcher-Bronstein v. Peru</w:t>
      </w:r>
      <w:r w:rsidRPr="001347F6">
        <w:rPr>
          <w:sz w:val="24"/>
          <w:szCs w:val="24"/>
          <w:highlight w:val="white"/>
        </w:rPr>
        <w:t xml:space="preserve"> </w:t>
      </w:r>
      <w:r w:rsidRPr="001347F6">
        <w:rPr>
          <w:sz w:val="24"/>
          <w:szCs w:val="24"/>
        </w:rPr>
        <w:t>(Merits, Reparations and Costs) IACtHR Series C No. 74 (6 February 2001)</w:t>
      </w:r>
      <w:r w:rsidR="00862979" w:rsidRPr="001347F6">
        <w:rPr>
          <w:sz w:val="24"/>
          <w:szCs w:val="24"/>
        </w:rPr>
        <w:fldChar w:fldCharType="begin"/>
      </w:r>
      <w:r w:rsidR="00862979" w:rsidRPr="001347F6">
        <w:rPr>
          <w:sz w:val="24"/>
          <w:szCs w:val="24"/>
        </w:rPr>
        <w:instrText xml:space="preserve"> TA \l "</w:instrText>
      </w:r>
      <w:r w:rsidR="00862979" w:rsidRPr="001347F6">
        <w:rPr>
          <w:i/>
          <w:sz w:val="24"/>
          <w:szCs w:val="24"/>
          <w:highlight w:val="white"/>
        </w:rPr>
        <w:instrText>Case of Ivcher-Bronstein v. Peru</w:instrText>
      </w:r>
      <w:r w:rsidR="00862979" w:rsidRPr="001347F6">
        <w:rPr>
          <w:sz w:val="24"/>
          <w:szCs w:val="24"/>
          <w:highlight w:val="white"/>
        </w:rPr>
        <w:instrText xml:space="preserve"> </w:instrText>
      </w:r>
      <w:r w:rsidR="00862979" w:rsidRPr="001347F6">
        <w:rPr>
          <w:sz w:val="24"/>
          <w:szCs w:val="24"/>
        </w:rPr>
        <w:instrText xml:space="preserve">(Merits, Reparations and Costs) IACtHR Series C No. 74 (6 February 2001)" \s "Case of Ivcher-Bronstein v. Peru" \c 4 </w:instrText>
      </w:r>
      <w:r w:rsidR="00862979" w:rsidRPr="001347F6">
        <w:rPr>
          <w:sz w:val="24"/>
          <w:szCs w:val="24"/>
        </w:rPr>
        <w:fldChar w:fldCharType="end"/>
      </w:r>
      <w:r w:rsidRPr="001347F6">
        <w:rPr>
          <w:sz w:val="24"/>
          <w:szCs w:val="24"/>
        </w:rPr>
        <w:t xml:space="preserve"> [152]; </w:t>
      </w:r>
      <w:r w:rsidRPr="001347F6">
        <w:rPr>
          <w:i/>
          <w:sz w:val="24"/>
          <w:szCs w:val="24"/>
          <w:highlight w:val="white"/>
        </w:rPr>
        <w:t xml:space="preserve">Case of The “Last Temptation of Christ” (Olmedo Bustos v. Chile) </w:t>
      </w:r>
      <w:r w:rsidRPr="001347F6">
        <w:rPr>
          <w:sz w:val="24"/>
          <w:szCs w:val="24"/>
        </w:rPr>
        <w:t>(Merits, Reparations and Costs) IACtHR Series C No. 73 (5 February 2001)</w:t>
      </w:r>
      <w:r w:rsidR="00862979" w:rsidRPr="001347F6">
        <w:rPr>
          <w:sz w:val="24"/>
          <w:szCs w:val="24"/>
        </w:rPr>
        <w:fldChar w:fldCharType="begin"/>
      </w:r>
      <w:r w:rsidR="00862979" w:rsidRPr="001347F6">
        <w:rPr>
          <w:sz w:val="24"/>
          <w:szCs w:val="24"/>
        </w:rPr>
        <w:instrText xml:space="preserve"> TA \l "</w:instrText>
      </w:r>
      <w:r w:rsidR="00862979" w:rsidRPr="001347F6">
        <w:rPr>
          <w:i/>
          <w:sz w:val="24"/>
          <w:szCs w:val="24"/>
          <w:highlight w:val="white"/>
        </w:rPr>
        <w:instrText xml:space="preserve">Case of The </w:instrText>
      </w:r>
      <w:r w:rsidR="00862979" w:rsidRPr="001347F6">
        <w:rPr>
          <w:sz w:val="24"/>
          <w:szCs w:val="24"/>
        </w:rPr>
        <w:instrText>\</w:instrText>
      </w:r>
      <w:r w:rsidR="00862979" w:rsidRPr="001347F6">
        <w:rPr>
          <w:i/>
          <w:sz w:val="24"/>
          <w:szCs w:val="24"/>
          <w:highlight w:val="white"/>
        </w:rPr>
        <w:instrText>“Last Temptation of Christ</w:instrText>
      </w:r>
      <w:r w:rsidR="00862979" w:rsidRPr="001347F6">
        <w:rPr>
          <w:sz w:val="24"/>
          <w:szCs w:val="24"/>
        </w:rPr>
        <w:instrText>\</w:instrText>
      </w:r>
      <w:r w:rsidR="00862979" w:rsidRPr="001347F6">
        <w:rPr>
          <w:i/>
          <w:sz w:val="24"/>
          <w:szCs w:val="24"/>
          <w:highlight w:val="white"/>
        </w:rPr>
        <w:instrText xml:space="preserve">” (Olmedo Bustos v. Chile) </w:instrText>
      </w:r>
      <w:r w:rsidR="00862979" w:rsidRPr="001347F6">
        <w:rPr>
          <w:sz w:val="24"/>
          <w:szCs w:val="24"/>
        </w:rPr>
        <w:instrText xml:space="preserve">(Merits, Reparations and Costs) IACtHR Series C No. 73 (5 February 2001)" \s "Case of The \"Last Temptation of Christ\"" \c 4 </w:instrText>
      </w:r>
      <w:r w:rsidR="00862979" w:rsidRPr="001347F6">
        <w:rPr>
          <w:sz w:val="24"/>
          <w:szCs w:val="24"/>
        </w:rPr>
        <w:fldChar w:fldCharType="end"/>
      </w:r>
      <w:r w:rsidRPr="001347F6">
        <w:rPr>
          <w:sz w:val="24"/>
          <w:szCs w:val="24"/>
        </w:rPr>
        <w:t xml:space="preserve"> [69].</w:t>
      </w:r>
    </w:p>
    <w:p w14:paraId="4F95561F" w14:textId="77777777" w:rsidR="008C2177" w:rsidRPr="001347F6" w:rsidRDefault="008C2177" w:rsidP="001347F6">
      <w:pPr>
        <w:jc w:val="both"/>
        <w:rPr>
          <w:sz w:val="24"/>
          <w:szCs w:val="24"/>
        </w:rPr>
      </w:pPr>
    </w:p>
  </w:footnote>
  <w:footnote w:id="110">
    <w:p w14:paraId="46477127" w14:textId="77777777" w:rsidR="00517D9E" w:rsidRPr="001347F6" w:rsidRDefault="00000000" w:rsidP="001347F6">
      <w:pPr>
        <w:jc w:val="both"/>
        <w:rPr>
          <w:sz w:val="24"/>
          <w:szCs w:val="24"/>
        </w:rPr>
      </w:pPr>
      <w:r w:rsidRPr="001347F6">
        <w:rPr>
          <w:sz w:val="24"/>
          <w:szCs w:val="24"/>
          <w:vertAlign w:val="superscript"/>
        </w:rPr>
        <w:footnoteRef/>
      </w:r>
      <w:r w:rsidRPr="001347F6">
        <w:rPr>
          <w:sz w:val="24"/>
          <w:szCs w:val="24"/>
        </w:rPr>
        <w:t xml:space="preserve"> </w:t>
      </w:r>
      <w:r w:rsidRPr="001347F6">
        <w:rPr>
          <w:i/>
          <w:iCs/>
          <w:sz w:val="24"/>
          <w:szCs w:val="24"/>
        </w:rPr>
        <w:t>Memorial</w:t>
      </w:r>
      <w:r w:rsidR="00517D9E" w:rsidRPr="001347F6">
        <w:rPr>
          <w:i/>
          <w:iCs/>
          <w:sz w:val="24"/>
          <w:szCs w:val="24"/>
        </w:rPr>
        <w:t>,</w:t>
      </w:r>
      <w:r w:rsidRPr="001347F6">
        <w:rPr>
          <w:sz w:val="24"/>
          <w:szCs w:val="24"/>
        </w:rPr>
        <w:t xml:space="preserve"> II</w:t>
      </w:r>
      <w:r w:rsidR="00517D9E" w:rsidRPr="001347F6">
        <w:rPr>
          <w:sz w:val="24"/>
          <w:szCs w:val="24"/>
        </w:rPr>
        <w:t>.</w:t>
      </w:r>
      <w:r w:rsidRPr="001347F6">
        <w:rPr>
          <w:sz w:val="24"/>
          <w:szCs w:val="24"/>
        </w:rPr>
        <w:t>A</w:t>
      </w:r>
      <w:r w:rsidR="00517D9E" w:rsidRPr="001347F6">
        <w:rPr>
          <w:sz w:val="24"/>
          <w:szCs w:val="24"/>
        </w:rPr>
        <w:t>(</w:t>
      </w:r>
      <w:r w:rsidRPr="001347F6">
        <w:rPr>
          <w:sz w:val="24"/>
          <w:szCs w:val="24"/>
        </w:rPr>
        <w:t>2</w:t>
      </w:r>
      <w:r w:rsidR="00517D9E" w:rsidRPr="001347F6">
        <w:rPr>
          <w:sz w:val="24"/>
          <w:szCs w:val="24"/>
        </w:rPr>
        <w:t>)</w:t>
      </w:r>
      <w:r w:rsidRPr="001347F6">
        <w:rPr>
          <w:sz w:val="24"/>
          <w:szCs w:val="24"/>
        </w:rPr>
        <w:t>.</w:t>
      </w:r>
    </w:p>
    <w:p w14:paraId="2F15B05D" w14:textId="5B2219DF" w:rsidR="008C2177" w:rsidRPr="001347F6" w:rsidRDefault="00000000" w:rsidP="001347F6">
      <w:pPr>
        <w:jc w:val="both"/>
        <w:rPr>
          <w:sz w:val="24"/>
          <w:szCs w:val="24"/>
        </w:rPr>
      </w:pPr>
      <w:r w:rsidRPr="001347F6">
        <w:rPr>
          <w:sz w:val="24"/>
          <w:szCs w:val="24"/>
        </w:rPr>
        <w:t xml:space="preserve"> </w:t>
      </w:r>
    </w:p>
  </w:footnote>
  <w:footnote w:id="111">
    <w:p w14:paraId="6E1BB61A" w14:textId="3F17DB2A"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w:t>
      </w:r>
      <w:r w:rsidRPr="001347F6">
        <w:rPr>
          <w:i/>
          <w:sz w:val="24"/>
          <w:szCs w:val="24"/>
        </w:rPr>
        <w:t>Handyside v. United Kingdom</w:t>
      </w:r>
      <w:r w:rsidRPr="001347F6">
        <w:rPr>
          <w:sz w:val="24"/>
          <w:szCs w:val="24"/>
        </w:rPr>
        <w:t xml:space="preserve"> (</w:t>
      </w:r>
      <w:r w:rsidR="007D1B71">
        <w:rPr>
          <w:sz w:val="24"/>
          <w:szCs w:val="24"/>
        </w:rPr>
        <w:t>Judgment</w:t>
      </w:r>
      <w:r w:rsidRPr="001347F6">
        <w:rPr>
          <w:sz w:val="24"/>
          <w:szCs w:val="24"/>
        </w:rPr>
        <w:t>) ECHR</w:t>
      </w:r>
      <w:r w:rsidRPr="001347F6">
        <w:rPr>
          <w:i/>
          <w:sz w:val="24"/>
          <w:szCs w:val="24"/>
        </w:rPr>
        <w:t xml:space="preserve"> </w:t>
      </w:r>
      <w:r w:rsidRPr="001347F6">
        <w:rPr>
          <w:sz w:val="24"/>
          <w:szCs w:val="24"/>
        </w:rPr>
        <w:t>App. No. 5493/72 (7 December 1976)</w:t>
      </w:r>
      <w:r w:rsidR="00862979" w:rsidRPr="001347F6">
        <w:rPr>
          <w:sz w:val="24"/>
          <w:szCs w:val="24"/>
        </w:rPr>
        <w:fldChar w:fldCharType="begin"/>
      </w:r>
      <w:r w:rsidR="00862979" w:rsidRPr="001347F6">
        <w:rPr>
          <w:sz w:val="24"/>
          <w:szCs w:val="24"/>
        </w:rPr>
        <w:instrText xml:space="preserve"> TA \l "</w:instrText>
      </w:r>
      <w:r w:rsidR="00862979" w:rsidRPr="001347F6">
        <w:rPr>
          <w:i/>
          <w:sz w:val="24"/>
          <w:szCs w:val="24"/>
        </w:rPr>
        <w:instrText>Handyside v. United Kingdom</w:instrText>
      </w:r>
      <w:r w:rsidR="00862979" w:rsidRPr="001347F6">
        <w:rPr>
          <w:sz w:val="24"/>
          <w:szCs w:val="24"/>
        </w:rPr>
        <w:instrText xml:space="preserve"> (Judgement) ECHR</w:instrText>
      </w:r>
      <w:r w:rsidR="00862979" w:rsidRPr="001347F6">
        <w:rPr>
          <w:i/>
          <w:sz w:val="24"/>
          <w:szCs w:val="24"/>
        </w:rPr>
        <w:instrText xml:space="preserve"> </w:instrText>
      </w:r>
      <w:r w:rsidR="00862979" w:rsidRPr="001347F6">
        <w:rPr>
          <w:sz w:val="24"/>
          <w:szCs w:val="24"/>
        </w:rPr>
        <w:instrText xml:space="preserve">App. No. 5493/72 (7 December 1976)" \s "Handyside v. United Kingdom" \c 4 </w:instrText>
      </w:r>
      <w:r w:rsidR="00862979" w:rsidRPr="001347F6">
        <w:rPr>
          <w:sz w:val="24"/>
          <w:szCs w:val="24"/>
        </w:rPr>
        <w:fldChar w:fldCharType="end"/>
      </w:r>
      <w:r w:rsidRPr="001347F6">
        <w:rPr>
          <w:sz w:val="24"/>
          <w:szCs w:val="24"/>
        </w:rPr>
        <w:t xml:space="preserve"> [49]; </w:t>
      </w:r>
      <w:r w:rsidRPr="001347F6">
        <w:rPr>
          <w:i/>
          <w:sz w:val="24"/>
          <w:szCs w:val="24"/>
        </w:rPr>
        <w:t>The Observer and Guardian v. The United Kingdom</w:t>
      </w:r>
      <w:r w:rsidRPr="001347F6">
        <w:rPr>
          <w:sz w:val="24"/>
          <w:szCs w:val="24"/>
        </w:rPr>
        <w:t xml:space="preserve"> (</w:t>
      </w:r>
      <w:r w:rsidR="007D1B71">
        <w:rPr>
          <w:sz w:val="24"/>
          <w:szCs w:val="24"/>
        </w:rPr>
        <w:t>Judgment</w:t>
      </w:r>
      <w:r w:rsidRPr="001347F6">
        <w:rPr>
          <w:sz w:val="24"/>
          <w:szCs w:val="24"/>
        </w:rPr>
        <w:t>) ECHR</w:t>
      </w:r>
      <w:r w:rsidRPr="001347F6">
        <w:rPr>
          <w:i/>
          <w:sz w:val="24"/>
          <w:szCs w:val="24"/>
        </w:rPr>
        <w:t xml:space="preserve"> </w:t>
      </w:r>
      <w:r w:rsidRPr="001347F6">
        <w:rPr>
          <w:sz w:val="24"/>
          <w:szCs w:val="24"/>
        </w:rPr>
        <w:t>App. No. 13585/88 (26 November 1991)</w:t>
      </w:r>
      <w:r w:rsidR="00862979" w:rsidRPr="001347F6">
        <w:rPr>
          <w:sz w:val="24"/>
          <w:szCs w:val="24"/>
        </w:rPr>
        <w:fldChar w:fldCharType="begin"/>
      </w:r>
      <w:r w:rsidR="00862979" w:rsidRPr="001347F6">
        <w:rPr>
          <w:sz w:val="24"/>
          <w:szCs w:val="24"/>
        </w:rPr>
        <w:instrText xml:space="preserve"> TA \l "</w:instrText>
      </w:r>
      <w:r w:rsidR="00862979" w:rsidRPr="001347F6">
        <w:rPr>
          <w:i/>
          <w:sz w:val="24"/>
          <w:szCs w:val="24"/>
        </w:rPr>
        <w:instrText>The Observer and Guardian v. The United Kingdom</w:instrText>
      </w:r>
      <w:r w:rsidR="00862979" w:rsidRPr="001347F6">
        <w:rPr>
          <w:sz w:val="24"/>
          <w:szCs w:val="24"/>
        </w:rPr>
        <w:instrText xml:space="preserve"> (Judgement) ECHR</w:instrText>
      </w:r>
      <w:r w:rsidR="00862979" w:rsidRPr="001347F6">
        <w:rPr>
          <w:i/>
          <w:sz w:val="24"/>
          <w:szCs w:val="24"/>
        </w:rPr>
        <w:instrText xml:space="preserve"> </w:instrText>
      </w:r>
      <w:r w:rsidR="00862979" w:rsidRPr="001347F6">
        <w:rPr>
          <w:sz w:val="24"/>
          <w:szCs w:val="24"/>
        </w:rPr>
        <w:instrText xml:space="preserve">App. No. 13585/88 (26 November 1991)" \s "The Observer and Guardian v. The United Kingdom" \c 4 </w:instrText>
      </w:r>
      <w:r w:rsidR="00862979" w:rsidRPr="001347F6">
        <w:rPr>
          <w:sz w:val="24"/>
          <w:szCs w:val="24"/>
        </w:rPr>
        <w:fldChar w:fldCharType="end"/>
      </w:r>
      <w:r w:rsidRPr="001347F6">
        <w:rPr>
          <w:sz w:val="24"/>
          <w:szCs w:val="24"/>
        </w:rPr>
        <w:t xml:space="preserve"> [59].</w:t>
      </w:r>
    </w:p>
    <w:p w14:paraId="3825E6E0" w14:textId="77777777" w:rsidR="008C2177" w:rsidRPr="001347F6" w:rsidRDefault="008C2177" w:rsidP="001347F6">
      <w:pPr>
        <w:widowControl/>
        <w:jc w:val="both"/>
        <w:rPr>
          <w:sz w:val="24"/>
          <w:szCs w:val="24"/>
        </w:rPr>
      </w:pPr>
    </w:p>
  </w:footnote>
  <w:footnote w:id="112">
    <w:p w14:paraId="2116FAB7" w14:textId="54854DE6" w:rsidR="008C2177" w:rsidRPr="001347F6" w:rsidRDefault="00000000" w:rsidP="001347F6">
      <w:pPr>
        <w:widowControl/>
        <w:jc w:val="both"/>
        <w:rPr>
          <w:i/>
          <w:sz w:val="24"/>
          <w:szCs w:val="24"/>
        </w:rPr>
      </w:pPr>
      <w:r w:rsidRPr="001347F6">
        <w:rPr>
          <w:sz w:val="24"/>
          <w:szCs w:val="24"/>
          <w:vertAlign w:val="superscript"/>
        </w:rPr>
        <w:footnoteRef/>
      </w:r>
      <w:r w:rsidRPr="001347F6">
        <w:rPr>
          <w:sz w:val="24"/>
          <w:szCs w:val="24"/>
        </w:rPr>
        <w:t xml:space="preserve"> </w:t>
      </w:r>
      <w:r w:rsidRPr="001347F6">
        <w:rPr>
          <w:i/>
          <w:sz w:val="24"/>
          <w:szCs w:val="24"/>
        </w:rPr>
        <w:t>Kablis v. Russia</w:t>
      </w:r>
      <w:r w:rsidRPr="001347F6">
        <w:rPr>
          <w:sz w:val="24"/>
          <w:szCs w:val="24"/>
        </w:rPr>
        <w:t xml:space="preserve"> (</w:t>
      </w:r>
      <w:r w:rsidR="007D1B71">
        <w:rPr>
          <w:sz w:val="24"/>
          <w:szCs w:val="24"/>
        </w:rPr>
        <w:t>Judgment</w:t>
      </w:r>
      <w:r w:rsidRPr="001347F6">
        <w:rPr>
          <w:sz w:val="24"/>
          <w:szCs w:val="24"/>
        </w:rPr>
        <w:t>) ECHR</w:t>
      </w:r>
      <w:r w:rsidRPr="001347F6">
        <w:rPr>
          <w:i/>
          <w:sz w:val="24"/>
          <w:szCs w:val="24"/>
        </w:rPr>
        <w:t xml:space="preserve"> </w:t>
      </w:r>
      <w:r w:rsidRPr="001347F6">
        <w:rPr>
          <w:sz w:val="24"/>
          <w:szCs w:val="24"/>
        </w:rPr>
        <w:t xml:space="preserve">Apps. No. </w:t>
      </w:r>
      <w:r w:rsidRPr="001347F6">
        <w:rPr>
          <w:sz w:val="24"/>
          <w:szCs w:val="24"/>
          <w:highlight w:val="white"/>
        </w:rPr>
        <w:t>48310/16 and 59663/17</w:t>
      </w:r>
      <w:r w:rsidRPr="001347F6">
        <w:rPr>
          <w:sz w:val="24"/>
          <w:szCs w:val="24"/>
        </w:rPr>
        <w:t xml:space="preserve"> (</w:t>
      </w:r>
      <w:r w:rsidRPr="001347F6">
        <w:rPr>
          <w:sz w:val="24"/>
          <w:szCs w:val="24"/>
          <w:highlight w:val="white"/>
        </w:rPr>
        <w:t>30 April 2019</w:t>
      </w:r>
      <w:r w:rsidRPr="001347F6">
        <w:rPr>
          <w:sz w:val="24"/>
          <w:szCs w:val="24"/>
        </w:rPr>
        <w:t>)</w:t>
      </w:r>
      <w:r w:rsidR="00862979" w:rsidRPr="001347F6">
        <w:rPr>
          <w:sz w:val="24"/>
          <w:szCs w:val="24"/>
        </w:rPr>
        <w:fldChar w:fldCharType="begin"/>
      </w:r>
      <w:r w:rsidR="00862979" w:rsidRPr="001347F6">
        <w:rPr>
          <w:sz w:val="24"/>
          <w:szCs w:val="24"/>
        </w:rPr>
        <w:instrText xml:space="preserve"> TA \l "</w:instrText>
      </w:r>
      <w:r w:rsidR="00862979" w:rsidRPr="001347F6">
        <w:rPr>
          <w:i/>
          <w:sz w:val="24"/>
          <w:szCs w:val="24"/>
        </w:rPr>
        <w:instrText>Kablis v. Russia</w:instrText>
      </w:r>
      <w:r w:rsidR="00862979" w:rsidRPr="001347F6">
        <w:rPr>
          <w:sz w:val="24"/>
          <w:szCs w:val="24"/>
        </w:rPr>
        <w:instrText xml:space="preserve"> (Judgement) ECHR</w:instrText>
      </w:r>
      <w:r w:rsidR="00862979" w:rsidRPr="001347F6">
        <w:rPr>
          <w:i/>
          <w:sz w:val="24"/>
          <w:szCs w:val="24"/>
        </w:rPr>
        <w:instrText xml:space="preserve"> </w:instrText>
      </w:r>
      <w:r w:rsidR="00862979" w:rsidRPr="001347F6">
        <w:rPr>
          <w:sz w:val="24"/>
          <w:szCs w:val="24"/>
        </w:rPr>
        <w:instrText xml:space="preserve">Apps. No. </w:instrText>
      </w:r>
      <w:r w:rsidR="00862979" w:rsidRPr="001347F6">
        <w:rPr>
          <w:sz w:val="24"/>
          <w:szCs w:val="24"/>
          <w:highlight w:val="white"/>
        </w:rPr>
        <w:instrText>48310/16 and 59663/17</w:instrText>
      </w:r>
      <w:r w:rsidR="00862979" w:rsidRPr="001347F6">
        <w:rPr>
          <w:sz w:val="24"/>
          <w:szCs w:val="24"/>
        </w:rPr>
        <w:instrText xml:space="preserve"> (</w:instrText>
      </w:r>
      <w:r w:rsidR="00862979" w:rsidRPr="001347F6">
        <w:rPr>
          <w:sz w:val="24"/>
          <w:szCs w:val="24"/>
          <w:highlight w:val="white"/>
        </w:rPr>
        <w:instrText>30 April 2019</w:instrText>
      </w:r>
      <w:r w:rsidR="00862979" w:rsidRPr="001347F6">
        <w:rPr>
          <w:sz w:val="24"/>
          <w:szCs w:val="24"/>
        </w:rPr>
        <w:instrText xml:space="preserve">)" \s "Kablis v. Russia" \c 4 </w:instrText>
      </w:r>
      <w:r w:rsidR="00862979" w:rsidRPr="001347F6">
        <w:rPr>
          <w:sz w:val="24"/>
          <w:szCs w:val="24"/>
        </w:rPr>
        <w:fldChar w:fldCharType="end"/>
      </w:r>
      <w:r w:rsidRPr="001347F6">
        <w:rPr>
          <w:sz w:val="24"/>
          <w:szCs w:val="24"/>
        </w:rPr>
        <w:t xml:space="preserve"> [82]. </w:t>
      </w:r>
    </w:p>
    <w:p w14:paraId="099D0212" w14:textId="77777777" w:rsidR="008C2177" w:rsidRPr="001347F6" w:rsidRDefault="008C2177" w:rsidP="001347F6">
      <w:pPr>
        <w:widowControl/>
        <w:jc w:val="both"/>
        <w:rPr>
          <w:i/>
          <w:sz w:val="24"/>
          <w:szCs w:val="24"/>
        </w:rPr>
      </w:pPr>
    </w:p>
  </w:footnote>
  <w:footnote w:id="113">
    <w:p w14:paraId="676519DE" w14:textId="3C86E2D6"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w:t>
      </w:r>
      <w:r w:rsidRPr="001347F6">
        <w:rPr>
          <w:i/>
          <w:sz w:val="24"/>
          <w:szCs w:val="24"/>
        </w:rPr>
        <w:t>Bodalev v. Russia</w:t>
      </w:r>
      <w:r w:rsidRPr="001347F6">
        <w:rPr>
          <w:sz w:val="24"/>
          <w:szCs w:val="24"/>
        </w:rPr>
        <w:t xml:space="preserve"> (</w:t>
      </w:r>
      <w:r w:rsidR="007D1B71">
        <w:rPr>
          <w:sz w:val="24"/>
          <w:szCs w:val="24"/>
        </w:rPr>
        <w:t>Judgment</w:t>
      </w:r>
      <w:r w:rsidRPr="001347F6">
        <w:rPr>
          <w:sz w:val="24"/>
          <w:szCs w:val="24"/>
        </w:rPr>
        <w:t>) ECHR</w:t>
      </w:r>
      <w:r w:rsidRPr="001347F6">
        <w:rPr>
          <w:i/>
          <w:sz w:val="24"/>
          <w:szCs w:val="24"/>
        </w:rPr>
        <w:t xml:space="preserve"> </w:t>
      </w:r>
      <w:r w:rsidRPr="001347F6">
        <w:rPr>
          <w:sz w:val="24"/>
          <w:szCs w:val="24"/>
        </w:rPr>
        <w:t>App. No. 67200/12 (6 September 2022)</w:t>
      </w:r>
      <w:r w:rsidR="00862979" w:rsidRPr="001347F6">
        <w:rPr>
          <w:sz w:val="24"/>
          <w:szCs w:val="24"/>
        </w:rPr>
        <w:fldChar w:fldCharType="begin"/>
      </w:r>
      <w:r w:rsidR="00862979" w:rsidRPr="001347F6">
        <w:rPr>
          <w:sz w:val="24"/>
          <w:szCs w:val="24"/>
        </w:rPr>
        <w:instrText xml:space="preserve"> TA \l "</w:instrText>
      </w:r>
      <w:r w:rsidR="00862979" w:rsidRPr="001347F6">
        <w:rPr>
          <w:i/>
          <w:sz w:val="24"/>
          <w:szCs w:val="24"/>
        </w:rPr>
        <w:instrText>Bodalev v. Russia</w:instrText>
      </w:r>
      <w:r w:rsidR="00862979" w:rsidRPr="001347F6">
        <w:rPr>
          <w:sz w:val="24"/>
          <w:szCs w:val="24"/>
        </w:rPr>
        <w:instrText xml:space="preserve"> (Judgement) ECHR</w:instrText>
      </w:r>
      <w:r w:rsidR="00862979" w:rsidRPr="001347F6">
        <w:rPr>
          <w:i/>
          <w:sz w:val="24"/>
          <w:szCs w:val="24"/>
        </w:rPr>
        <w:instrText xml:space="preserve"> </w:instrText>
      </w:r>
      <w:r w:rsidR="00862979" w:rsidRPr="001347F6">
        <w:rPr>
          <w:sz w:val="24"/>
          <w:szCs w:val="24"/>
        </w:rPr>
        <w:instrText xml:space="preserve">App. No. 67200/12 (6 September 2022)" \s "Bodalev v. Russia" \c 4 </w:instrText>
      </w:r>
      <w:r w:rsidR="00862979" w:rsidRPr="001347F6">
        <w:rPr>
          <w:sz w:val="24"/>
          <w:szCs w:val="24"/>
        </w:rPr>
        <w:fldChar w:fldCharType="end"/>
      </w:r>
      <w:r w:rsidRPr="001347F6">
        <w:rPr>
          <w:sz w:val="24"/>
          <w:szCs w:val="24"/>
        </w:rPr>
        <w:t xml:space="preserve"> [75], [84].</w:t>
      </w:r>
    </w:p>
    <w:p w14:paraId="2C9E55BB" w14:textId="77777777" w:rsidR="008C2177" w:rsidRPr="001347F6" w:rsidRDefault="008C2177" w:rsidP="001347F6">
      <w:pPr>
        <w:widowControl/>
        <w:jc w:val="both"/>
        <w:rPr>
          <w:sz w:val="24"/>
          <w:szCs w:val="24"/>
        </w:rPr>
      </w:pPr>
    </w:p>
  </w:footnote>
  <w:footnote w:id="114">
    <w:p w14:paraId="514BB8FB" w14:textId="720FDBC8"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General Comment 34</w:t>
      </w:r>
      <w:r w:rsidR="00F66AB9" w:rsidRPr="001347F6">
        <w:rPr>
          <w:sz w:val="24"/>
          <w:szCs w:val="24"/>
        </w:rPr>
        <w:fldChar w:fldCharType="begin"/>
      </w:r>
      <w:r w:rsidR="00F66AB9" w:rsidRPr="001347F6">
        <w:rPr>
          <w:sz w:val="24"/>
          <w:szCs w:val="24"/>
        </w:rPr>
        <w:instrText xml:space="preserve"> TA \s "General Comment 34" </w:instrText>
      </w:r>
      <w:r w:rsidR="00F66AB9" w:rsidRPr="001347F6">
        <w:rPr>
          <w:sz w:val="24"/>
          <w:szCs w:val="24"/>
        </w:rPr>
        <w:fldChar w:fldCharType="end"/>
      </w:r>
      <w:r w:rsidRPr="001347F6">
        <w:rPr>
          <w:sz w:val="24"/>
          <w:szCs w:val="24"/>
        </w:rPr>
        <w:t xml:space="preserve">, [42]; </w:t>
      </w:r>
      <w:r w:rsidR="00517D9E" w:rsidRPr="001347F6">
        <w:rPr>
          <w:color w:val="000000"/>
          <w:sz w:val="24"/>
          <w:szCs w:val="24"/>
        </w:rPr>
        <w:t>HRComm ‘Communication No. 1128/2002 - Marques de Morais v. Angola’ (29 March 2005) UN Doc CCPR/C/83/D/1128/2002</w:t>
      </w:r>
      <w:r w:rsidR="00517D9E" w:rsidRPr="001347F6">
        <w:rPr>
          <w:color w:val="000000"/>
          <w:sz w:val="24"/>
          <w:szCs w:val="24"/>
        </w:rPr>
        <w:fldChar w:fldCharType="begin"/>
      </w:r>
      <w:r w:rsidR="00517D9E" w:rsidRPr="001347F6">
        <w:rPr>
          <w:sz w:val="24"/>
          <w:szCs w:val="24"/>
        </w:rPr>
        <w:instrText xml:space="preserve"> TA \l "</w:instrText>
      </w:r>
      <w:r w:rsidR="00517D9E" w:rsidRPr="001347F6">
        <w:rPr>
          <w:color w:val="000000"/>
          <w:sz w:val="24"/>
          <w:szCs w:val="24"/>
        </w:rPr>
        <w:instrText>HRComm ‘Communication No. 1128/2002 - Marques de Morais v. Angola’ (29 March 2005) UN Doc CCPR/C/83/D/1128/2002</w:instrText>
      </w:r>
      <w:r w:rsidR="00517D9E" w:rsidRPr="001347F6">
        <w:rPr>
          <w:sz w:val="24"/>
          <w:szCs w:val="24"/>
        </w:rPr>
        <w:instrText xml:space="preserve">" \s "UN Doc CCPR/C/83/D/1128/2002" \c 3 </w:instrText>
      </w:r>
      <w:r w:rsidR="00517D9E" w:rsidRPr="001347F6">
        <w:rPr>
          <w:color w:val="000000"/>
          <w:sz w:val="24"/>
          <w:szCs w:val="24"/>
        </w:rPr>
        <w:fldChar w:fldCharType="end"/>
      </w:r>
      <w:r w:rsidR="00517D9E" w:rsidRPr="001347F6">
        <w:rPr>
          <w:color w:val="000000"/>
          <w:sz w:val="24"/>
          <w:szCs w:val="24"/>
        </w:rPr>
        <w:t>, [6.8]</w:t>
      </w:r>
      <w:r w:rsidR="00517D9E" w:rsidRPr="001347F6">
        <w:rPr>
          <w:color w:val="000000"/>
          <w:sz w:val="24"/>
          <w:szCs w:val="24"/>
        </w:rPr>
        <w:t>;</w:t>
      </w:r>
      <w:r w:rsidR="00517D9E" w:rsidRPr="001347F6">
        <w:rPr>
          <w:sz w:val="24"/>
          <w:szCs w:val="24"/>
        </w:rPr>
        <w:t xml:space="preserve"> </w:t>
      </w:r>
      <w:r w:rsidRPr="001347F6">
        <w:rPr>
          <w:sz w:val="24"/>
          <w:szCs w:val="24"/>
        </w:rPr>
        <w:t xml:space="preserve">Taylor, P. </w:t>
      </w:r>
      <w:r w:rsidRPr="001347F6">
        <w:rPr>
          <w:i/>
          <w:sz w:val="24"/>
          <w:szCs w:val="24"/>
        </w:rPr>
        <w:t xml:space="preserve">A Commentary on the International Covenant on Civil and Political Rights </w:t>
      </w:r>
      <w:r w:rsidRPr="001347F6">
        <w:rPr>
          <w:sz w:val="24"/>
          <w:szCs w:val="24"/>
        </w:rPr>
        <w:t>(CUP 2020)</w:t>
      </w:r>
      <w:r w:rsidR="00862979" w:rsidRPr="001347F6">
        <w:rPr>
          <w:sz w:val="24"/>
          <w:szCs w:val="24"/>
        </w:rPr>
        <w:fldChar w:fldCharType="begin"/>
      </w:r>
      <w:r w:rsidR="00862979" w:rsidRPr="001347F6">
        <w:rPr>
          <w:sz w:val="24"/>
          <w:szCs w:val="24"/>
        </w:rPr>
        <w:instrText xml:space="preserve"> TA \l "Taylor, P. </w:instrText>
      </w:r>
      <w:r w:rsidR="00862979" w:rsidRPr="001347F6">
        <w:rPr>
          <w:i/>
          <w:sz w:val="24"/>
          <w:szCs w:val="24"/>
        </w:rPr>
        <w:instrText xml:space="preserve">A Commentary on the International Covenant on Civil and Political Rights </w:instrText>
      </w:r>
      <w:r w:rsidR="00862979" w:rsidRPr="001347F6">
        <w:rPr>
          <w:sz w:val="24"/>
          <w:szCs w:val="24"/>
        </w:rPr>
        <w:instrText xml:space="preserve">(CUP 2020)" \s "Taylor, P. A" \c 6 </w:instrText>
      </w:r>
      <w:r w:rsidR="00862979" w:rsidRPr="001347F6">
        <w:rPr>
          <w:sz w:val="24"/>
          <w:szCs w:val="24"/>
        </w:rPr>
        <w:fldChar w:fldCharType="end"/>
      </w:r>
      <w:r w:rsidRPr="001347F6">
        <w:rPr>
          <w:sz w:val="24"/>
          <w:szCs w:val="24"/>
        </w:rPr>
        <w:t xml:space="preserve"> pp. 560-561. </w:t>
      </w:r>
    </w:p>
    <w:p w14:paraId="61044B0D" w14:textId="77777777" w:rsidR="008C2177" w:rsidRPr="001347F6" w:rsidRDefault="008C2177" w:rsidP="001347F6">
      <w:pPr>
        <w:widowControl/>
        <w:jc w:val="both"/>
        <w:rPr>
          <w:sz w:val="24"/>
          <w:szCs w:val="24"/>
        </w:rPr>
      </w:pPr>
    </w:p>
  </w:footnote>
  <w:footnote w:id="115">
    <w:p w14:paraId="7CC011B4" w14:textId="5CC1E630"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w:t>
      </w:r>
      <w:r w:rsidRPr="001347F6">
        <w:rPr>
          <w:i/>
          <w:sz w:val="24"/>
          <w:szCs w:val="24"/>
        </w:rPr>
        <w:t>Stern Taulats and Roura Capellera v. Spain</w:t>
      </w:r>
      <w:r w:rsidRPr="001347F6">
        <w:rPr>
          <w:sz w:val="24"/>
          <w:szCs w:val="24"/>
        </w:rPr>
        <w:t xml:space="preserve"> (</w:t>
      </w:r>
      <w:r w:rsidR="007D1B71">
        <w:rPr>
          <w:sz w:val="24"/>
          <w:szCs w:val="24"/>
        </w:rPr>
        <w:t>Judgment</w:t>
      </w:r>
      <w:r w:rsidRPr="001347F6">
        <w:rPr>
          <w:sz w:val="24"/>
          <w:szCs w:val="24"/>
        </w:rPr>
        <w:t>) ECHR</w:t>
      </w:r>
      <w:r w:rsidRPr="001347F6">
        <w:rPr>
          <w:i/>
          <w:sz w:val="24"/>
          <w:szCs w:val="24"/>
        </w:rPr>
        <w:t xml:space="preserve"> </w:t>
      </w:r>
      <w:r w:rsidRPr="001347F6">
        <w:rPr>
          <w:sz w:val="24"/>
          <w:szCs w:val="24"/>
        </w:rPr>
        <w:t>Apps. Nos. 51168/15 and 51186/15 (13 May 2018) [</w:t>
      </w:r>
      <w:r w:rsidRPr="001347F6">
        <w:rPr>
          <w:i/>
          <w:sz w:val="24"/>
          <w:szCs w:val="24"/>
          <w:highlight w:val="white"/>
        </w:rPr>
        <w:t>Stern Taulats v. Spain</w:t>
      </w:r>
      <w:r w:rsidRPr="001347F6">
        <w:rPr>
          <w:sz w:val="24"/>
          <w:szCs w:val="24"/>
        </w:rPr>
        <w:t>]</w:t>
      </w:r>
      <w:r w:rsidR="00862979" w:rsidRPr="001347F6">
        <w:rPr>
          <w:sz w:val="24"/>
          <w:szCs w:val="24"/>
        </w:rPr>
        <w:fldChar w:fldCharType="begin"/>
      </w:r>
      <w:r w:rsidR="00862979" w:rsidRPr="001347F6">
        <w:rPr>
          <w:sz w:val="24"/>
          <w:szCs w:val="24"/>
        </w:rPr>
        <w:instrText xml:space="preserve"> TA \s "Stern Taulats v. Spain" </w:instrText>
      </w:r>
      <w:r w:rsidR="00862979" w:rsidRPr="001347F6">
        <w:rPr>
          <w:sz w:val="24"/>
          <w:szCs w:val="24"/>
        </w:rPr>
        <w:fldChar w:fldCharType="end"/>
      </w:r>
      <w:r w:rsidRPr="001347F6">
        <w:rPr>
          <w:sz w:val="24"/>
          <w:szCs w:val="24"/>
        </w:rPr>
        <w:t xml:space="preserve"> [37]-[40]. </w:t>
      </w:r>
    </w:p>
    <w:p w14:paraId="6F741A61" w14:textId="77777777" w:rsidR="008C2177" w:rsidRPr="001347F6" w:rsidRDefault="008C2177" w:rsidP="001347F6">
      <w:pPr>
        <w:widowControl/>
        <w:jc w:val="both"/>
        <w:rPr>
          <w:sz w:val="24"/>
          <w:szCs w:val="24"/>
        </w:rPr>
      </w:pPr>
    </w:p>
  </w:footnote>
  <w:footnote w:id="116">
    <w:p w14:paraId="5424DBF8" w14:textId="01799C8C"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w:t>
      </w:r>
      <w:r w:rsidRPr="001347F6">
        <w:rPr>
          <w:i/>
          <w:sz w:val="24"/>
          <w:szCs w:val="24"/>
          <w:highlight w:val="white"/>
        </w:rPr>
        <w:t>Stern Taulats v. Spain</w:t>
      </w:r>
      <w:r w:rsidR="00862979" w:rsidRPr="001347F6">
        <w:rPr>
          <w:i/>
          <w:sz w:val="24"/>
          <w:szCs w:val="24"/>
          <w:highlight w:val="white"/>
        </w:rPr>
        <w:fldChar w:fldCharType="begin"/>
      </w:r>
      <w:r w:rsidR="00862979" w:rsidRPr="001347F6">
        <w:rPr>
          <w:i/>
          <w:sz w:val="24"/>
          <w:szCs w:val="24"/>
          <w:highlight w:val="white"/>
        </w:rPr>
        <w:instrText xml:space="preserve"> TA \s "Stern Taulats v. Spain" </w:instrText>
      </w:r>
      <w:r w:rsidR="00862979" w:rsidRPr="001347F6">
        <w:rPr>
          <w:i/>
          <w:sz w:val="24"/>
          <w:szCs w:val="24"/>
          <w:highlight w:val="white"/>
        </w:rPr>
        <w:fldChar w:fldCharType="end"/>
      </w:r>
      <w:r w:rsidRPr="001347F6">
        <w:rPr>
          <w:sz w:val="24"/>
          <w:szCs w:val="24"/>
        </w:rPr>
        <w:t xml:space="preserve"> [36]. </w:t>
      </w:r>
    </w:p>
    <w:p w14:paraId="2517A61E" w14:textId="77777777" w:rsidR="008C2177" w:rsidRPr="001347F6" w:rsidRDefault="008C2177" w:rsidP="001347F6">
      <w:pPr>
        <w:widowControl/>
        <w:jc w:val="both"/>
        <w:rPr>
          <w:sz w:val="24"/>
          <w:szCs w:val="24"/>
        </w:rPr>
      </w:pPr>
    </w:p>
  </w:footnote>
  <w:footnote w:id="117">
    <w:p w14:paraId="174C8B64" w14:textId="77777777"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Compromis, [30]. </w:t>
      </w:r>
    </w:p>
    <w:p w14:paraId="6E8C4189" w14:textId="77777777" w:rsidR="008C2177" w:rsidRPr="001347F6" w:rsidRDefault="008C2177" w:rsidP="001347F6">
      <w:pPr>
        <w:widowControl/>
        <w:jc w:val="both"/>
        <w:rPr>
          <w:sz w:val="24"/>
          <w:szCs w:val="24"/>
        </w:rPr>
      </w:pPr>
    </w:p>
  </w:footnote>
  <w:footnote w:id="118">
    <w:p w14:paraId="15BB062E" w14:textId="77777777"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Compromis, [22], [24].</w:t>
      </w:r>
    </w:p>
    <w:p w14:paraId="42E8CB48" w14:textId="77777777" w:rsidR="008C2177" w:rsidRPr="001347F6" w:rsidRDefault="008C2177" w:rsidP="001347F6">
      <w:pPr>
        <w:widowControl/>
        <w:jc w:val="both"/>
        <w:rPr>
          <w:sz w:val="24"/>
          <w:szCs w:val="24"/>
        </w:rPr>
      </w:pPr>
    </w:p>
  </w:footnote>
  <w:footnote w:id="119">
    <w:p w14:paraId="3A402151" w14:textId="494AF46C" w:rsidR="001347F6"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Compromis, [34].</w:t>
      </w:r>
    </w:p>
  </w:footnote>
  <w:footnote w:id="120">
    <w:p w14:paraId="7963E866" w14:textId="4E4AC96B" w:rsidR="008C2177" w:rsidRPr="001347F6" w:rsidRDefault="00000000" w:rsidP="001347F6">
      <w:pPr>
        <w:widowControl/>
        <w:jc w:val="both"/>
        <w:rPr>
          <w:sz w:val="24"/>
          <w:szCs w:val="24"/>
          <w:highlight w:val="white"/>
        </w:rPr>
      </w:pPr>
      <w:r w:rsidRPr="001347F6">
        <w:rPr>
          <w:sz w:val="24"/>
          <w:szCs w:val="24"/>
          <w:vertAlign w:val="superscript"/>
        </w:rPr>
        <w:footnoteRef/>
      </w:r>
      <w:r w:rsidRPr="001347F6">
        <w:rPr>
          <w:sz w:val="24"/>
          <w:szCs w:val="24"/>
        </w:rPr>
        <w:t xml:space="preserve"> </w:t>
      </w:r>
      <w:r w:rsidRPr="001347F6">
        <w:rPr>
          <w:sz w:val="24"/>
          <w:szCs w:val="24"/>
          <w:highlight w:val="white"/>
        </w:rPr>
        <w:t xml:space="preserve"> </w:t>
      </w:r>
      <w:r w:rsidRPr="001347F6">
        <w:rPr>
          <w:i/>
          <w:sz w:val="24"/>
          <w:szCs w:val="24"/>
          <w:highlight w:val="white"/>
        </w:rPr>
        <w:t xml:space="preserve">Factory at Chorzów case </w:t>
      </w:r>
      <w:r w:rsidRPr="001347F6">
        <w:rPr>
          <w:sz w:val="24"/>
          <w:szCs w:val="24"/>
          <w:highlight w:val="white"/>
        </w:rPr>
        <w:t>(Germany v. Poland) (Judgment) (1927) PCIJ Series A No 17</w:t>
      </w:r>
      <w:r w:rsidR="00862979" w:rsidRPr="001347F6">
        <w:rPr>
          <w:sz w:val="24"/>
          <w:szCs w:val="24"/>
          <w:highlight w:val="white"/>
        </w:rPr>
        <w:fldChar w:fldCharType="begin"/>
      </w:r>
      <w:r w:rsidR="00862979" w:rsidRPr="001347F6">
        <w:rPr>
          <w:sz w:val="24"/>
          <w:szCs w:val="24"/>
        </w:rPr>
        <w:instrText xml:space="preserve"> TA \l "</w:instrText>
      </w:r>
      <w:r w:rsidR="00862979" w:rsidRPr="001347F6">
        <w:rPr>
          <w:i/>
          <w:sz w:val="24"/>
          <w:szCs w:val="24"/>
          <w:highlight w:val="white"/>
        </w:rPr>
        <w:instrText xml:space="preserve">Factory at Chorzów case </w:instrText>
      </w:r>
      <w:r w:rsidR="00862979" w:rsidRPr="001347F6">
        <w:rPr>
          <w:sz w:val="24"/>
          <w:szCs w:val="24"/>
          <w:highlight w:val="white"/>
        </w:rPr>
        <w:instrText>(Germany v. Poland) (Judgment) (1927) PCIJ Series A No 17</w:instrText>
      </w:r>
      <w:r w:rsidR="00862979" w:rsidRPr="001347F6">
        <w:rPr>
          <w:sz w:val="24"/>
          <w:szCs w:val="24"/>
        </w:rPr>
        <w:instrText xml:space="preserve">" \s "Factory at Chorzów case" \c 1 </w:instrText>
      </w:r>
      <w:r w:rsidR="00862979" w:rsidRPr="001347F6">
        <w:rPr>
          <w:sz w:val="24"/>
          <w:szCs w:val="24"/>
          <w:highlight w:val="white"/>
        </w:rPr>
        <w:fldChar w:fldCharType="end"/>
      </w:r>
      <w:r w:rsidRPr="001347F6">
        <w:rPr>
          <w:sz w:val="24"/>
          <w:szCs w:val="24"/>
          <w:highlight w:val="white"/>
        </w:rPr>
        <w:t>, pp.17; ARSIWA,</w:t>
      </w:r>
      <w:r w:rsidR="000E212C" w:rsidRPr="001347F6">
        <w:rPr>
          <w:sz w:val="24"/>
          <w:szCs w:val="24"/>
          <w:highlight w:val="white"/>
        </w:rPr>
        <w:fldChar w:fldCharType="begin"/>
      </w:r>
      <w:r w:rsidR="000E212C" w:rsidRPr="001347F6">
        <w:rPr>
          <w:sz w:val="24"/>
          <w:szCs w:val="24"/>
          <w:highlight w:val="white"/>
        </w:rPr>
        <w:instrText xml:space="preserve"> TA \s "ARSIWA," </w:instrText>
      </w:r>
      <w:r w:rsidR="000E212C" w:rsidRPr="001347F6">
        <w:rPr>
          <w:sz w:val="24"/>
          <w:szCs w:val="24"/>
          <w:highlight w:val="white"/>
        </w:rPr>
        <w:fldChar w:fldCharType="end"/>
      </w:r>
      <w:r w:rsidRPr="001347F6">
        <w:rPr>
          <w:sz w:val="24"/>
          <w:szCs w:val="24"/>
          <w:highlight w:val="white"/>
        </w:rPr>
        <w:t xml:space="preserve"> Art 35.</w:t>
      </w:r>
    </w:p>
    <w:p w14:paraId="08D780DA" w14:textId="77777777" w:rsidR="008C2177" w:rsidRPr="001347F6" w:rsidRDefault="008C2177" w:rsidP="001347F6">
      <w:pPr>
        <w:widowControl/>
        <w:jc w:val="both"/>
        <w:rPr>
          <w:sz w:val="24"/>
          <w:szCs w:val="24"/>
        </w:rPr>
      </w:pPr>
    </w:p>
  </w:footnote>
  <w:footnote w:id="121">
    <w:p w14:paraId="4E76DEF8" w14:textId="7BA532E7" w:rsidR="008C2177" w:rsidRPr="001347F6" w:rsidRDefault="00000000" w:rsidP="001347F6">
      <w:pPr>
        <w:widowControl/>
        <w:jc w:val="both"/>
        <w:rPr>
          <w:sz w:val="24"/>
          <w:szCs w:val="24"/>
          <w:highlight w:val="white"/>
        </w:rPr>
      </w:pPr>
      <w:r w:rsidRPr="001347F6">
        <w:rPr>
          <w:sz w:val="24"/>
          <w:szCs w:val="24"/>
          <w:vertAlign w:val="superscript"/>
        </w:rPr>
        <w:footnoteRef/>
      </w:r>
      <w:r w:rsidRPr="001347F6">
        <w:rPr>
          <w:sz w:val="24"/>
          <w:szCs w:val="24"/>
          <w:highlight w:val="white"/>
        </w:rPr>
        <w:t xml:space="preserve">  ARSIWA,</w:t>
      </w:r>
      <w:r w:rsidR="000E212C" w:rsidRPr="001347F6">
        <w:rPr>
          <w:sz w:val="24"/>
          <w:szCs w:val="24"/>
          <w:highlight w:val="white"/>
        </w:rPr>
        <w:fldChar w:fldCharType="begin"/>
      </w:r>
      <w:r w:rsidR="000E212C" w:rsidRPr="001347F6">
        <w:rPr>
          <w:sz w:val="24"/>
          <w:szCs w:val="24"/>
          <w:highlight w:val="white"/>
        </w:rPr>
        <w:instrText xml:space="preserve"> TA \s "ARSIWA," </w:instrText>
      </w:r>
      <w:r w:rsidR="000E212C" w:rsidRPr="001347F6">
        <w:rPr>
          <w:sz w:val="24"/>
          <w:szCs w:val="24"/>
          <w:highlight w:val="white"/>
        </w:rPr>
        <w:fldChar w:fldCharType="end"/>
      </w:r>
      <w:r w:rsidRPr="001347F6">
        <w:rPr>
          <w:sz w:val="24"/>
          <w:szCs w:val="24"/>
          <w:highlight w:val="white"/>
        </w:rPr>
        <w:t xml:space="preserve"> Art 48(2)(b).</w:t>
      </w:r>
    </w:p>
    <w:p w14:paraId="4154BDA4" w14:textId="77777777" w:rsidR="008C2177" w:rsidRPr="001347F6" w:rsidRDefault="008C2177" w:rsidP="001347F6">
      <w:pPr>
        <w:widowControl/>
        <w:jc w:val="both"/>
        <w:rPr>
          <w:sz w:val="24"/>
          <w:szCs w:val="24"/>
        </w:rPr>
      </w:pPr>
    </w:p>
  </w:footnote>
  <w:footnote w:id="122">
    <w:p w14:paraId="616B35C5" w14:textId="59DEF3B5"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w:t>
      </w:r>
      <w:r w:rsidRPr="001347F6">
        <w:rPr>
          <w:sz w:val="24"/>
          <w:szCs w:val="24"/>
          <w:highlight w:val="white"/>
        </w:rPr>
        <w:t xml:space="preserve"> Compromis, [62].</w:t>
      </w:r>
    </w:p>
  </w:footnote>
  <w:footnote w:id="123">
    <w:p w14:paraId="68FAAA98" w14:textId="77777777" w:rsidR="008C2177" w:rsidRPr="001347F6" w:rsidRDefault="00000000" w:rsidP="001347F6">
      <w:pPr>
        <w:widowControl/>
        <w:jc w:val="both"/>
        <w:rPr>
          <w:sz w:val="24"/>
          <w:szCs w:val="24"/>
          <w:highlight w:val="white"/>
        </w:rPr>
      </w:pPr>
      <w:r w:rsidRPr="001347F6">
        <w:rPr>
          <w:sz w:val="24"/>
          <w:szCs w:val="24"/>
          <w:vertAlign w:val="superscript"/>
        </w:rPr>
        <w:footnoteRef/>
      </w:r>
      <w:r w:rsidRPr="001347F6">
        <w:rPr>
          <w:sz w:val="24"/>
          <w:szCs w:val="24"/>
          <w:highlight w:val="white"/>
        </w:rPr>
        <w:t xml:space="preserve"> Compromis, [43].</w:t>
      </w:r>
    </w:p>
    <w:p w14:paraId="736F75DD" w14:textId="77777777" w:rsidR="008C2177" w:rsidRPr="001347F6" w:rsidRDefault="008C2177" w:rsidP="001347F6">
      <w:pPr>
        <w:widowControl/>
        <w:jc w:val="both"/>
        <w:rPr>
          <w:sz w:val="24"/>
          <w:szCs w:val="24"/>
        </w:rPr>
      </w:pPr>
    </w:p>
  </w:footnote>
  <w:footnote w:id="124">
    <w:p w14:paraId="160987AA" w14:textId="77777777" w:rsidR="008C2177" w:rsidRPr="001347F6" w:rsidRDefault="00000000" w:rsidP="001347F6">
      <w:pPr>
        <w:widowControl/>
        <w:jc w:val="both"/>
        <w:rPr>
          <w:sz w:val="24"/>
          <w:szCs w:val="24"/>
          <w:highlight w:val="white"/>
        </w:rPr>
      </w:pPr>
      <w:r w:rsidRPr="001347F6">
        <w:rPr>
          <w:sz w:val="24"/>
          <w:szCs w:val="24"/>
          <w:vertAlign w:val="superscript"/>
        </w:rPr>
        <w:footnoteRef/>
      </w:r>
      <w:r w:rsidRPr="001347F6">
        <w:rPr>
          <w:sz w:val="24"/>
          <w:szCs w:val="24"/>
        </w:rPr>
        <w:t xml:space="preserve"> </w:t>
      </w:r>
      <w:r w:rsidRPr="001347F6">
        <w:rPr>
          <w:sz w:val="24"/>
          <w:szCs w:val="24"/>
          <w:highlight w:val="white"/>
        </w:rPr>
        <w:t>Compromis, [14], [19].</w:t>
      </w:r>
    </w:p>
    <w:p w14:paraId="06A63949" w14:textId="77777777" w:rsidR="008C2177" w:rsidRPr="001347F6" w:rsidRDefault="008C2177" w:rsidP="001347F6">
      <w:pPr>
        <w:widowControl/>
        <w:jc w:val="both"/>
        <w:rPr>
          <w:sz w:val="24"/>
          <w:szCs w:val="24"/>
        </w:rPr>
      </w:pPr>
    </w:p>
  </w:footnote>
  <w:footnote w:id="125">
    <w:p w14:paraId="31F065A9" w14:textId="77777777"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w:t>
      </w:r>
      <w:r w:rsidRPr="001347F6">
        <w:rPr>
          <w:sz w:val="24"/>
          <w:szCs w:val="24"/>
          <w:highlight w:val="white"/>
        </w:rPr>
        <w:t>Compromis, [45].</w:t>
      </w:r>
    </w:p>
    <w:p w14:paraId="6E78CA73" w14:textId="77777777" w:rsidR="008C2177" w:rsidRPr="001347F6" w:rsidRDefault="008C2177" w:rsidP="001347F6">
      <w:pPr>
        <w:widowControl/>
        <w:jc w:val="both"/>
        <w:rPr>
          <w:sz w:val="24"/>
          <w:szCs w:val="24"/>
        </w:rPr>
      </w:pPr>
    </w:p>
  </w:footnote>
  <w:footnote w:id="126">
    <w:p w14:paraId="2AFB979D" w14:textId="77777777" w:rsidR="008C2177" w:rsidRPr="001347F6" w:rsidRDefault="00000000" w:rsidP="001347F6">
      <w:pPr>
        <w:widowControl/>
        <w:jc w:val="both"/>
        <w:rPr>
          <w:sz w:val="24"/>
          <w:szCs w:val="24"/>
          <w:highlight w:val="white"/>
        </w:rPr>
      </w:pPr>
      <w:r w:rsidRPr="001347F6">
        <w:rPr>
          <w:sz w:val="24"/>
          <w:szCs w:val="24"/>
          <w:vertAlign w:val="superscript"/>
        </w:rPr>
        <w:footnoteRef/>
      </w:r>
      <w:r w:rsidRPr="001347F6">
        <w:rPr>
          <w:sz w:val="24"/>
          <w:szCs w:val="24"/>
          <w:highlight w:val="white"/>
        </w:rPr>
        <w:t xml:space="preserve"> Compromis, [62].</w:t>
      </w:r>
    </w:p>
    <w:p w14:paraId="10F42300" w14:textId="77777777" w:rsidR="008C2177" w:rsidRPr="001347F6" w:rsidRDefault="008C2177" w:rsidP="001347F6">
      <w:pPr>
        <w:widowControl/>
        <w:jc w:val="both"/>
        <w:rPr>
          <w:sz w:val="24"/>
          <w:szCs w:val="24"/>
          <w:highlight w:val="white"/>
        </w:rPr>
      </w:pPr>
    </w:p>
  </w:footnote>
  <w:footnote w:id="127">
    <w:p w14:paraId="00EF7CFD" w14:textId="0734FEDF" w:rsidR="008C2177" w:rsidRPr="001347F6" w:rsidRDefault="00000000" w:rsidP="001347F6">
      <w:pPr>
        <w:widowControl/>
        <w:shd w:val="clear" w:color="auto" w:fill="FFFFFF"/>
        <w:jc w:val="both"/>
        <w:rPr>
          <w:sz w:val="24"/>
          <w:szCs w:val="24"/>
          <w:highlight w:val="white"/>
        </w:rPr>
      </w:pPr>
      <w:r w:rsidRPr="001347F6">
        <w:rPr>
          <w:sz w:val="24"/>
          <w:szCs w:val="24"/>
          <w:vertAlign w:val="superscript"/>
        </w:rPr>
        <w:footnoteRef/>
      </w:r>
      <w:r w:rsidRPr="001347F6">
        <w:rPr>
          <w:sz w:val="24"/>
          <w:szCs w:val="24"/>
        </w:rPr>
        <w:t xml:space="preserve"> Vienna Convention on Consular Relations (adopted 24 April 1963</w:t>
      </w:r>
      <w:r w:rsidR="009D2BF1" w:rsidRPr="001347F6">
        <w:rPr>
          <w:sz w:val="24"/>
          <w:szCs w:val="24"/>
        </w:rPr>
        <w:t>, entered into force 19 March 1967</w:t>
      </w:r>
      <w:r w:rsidRPr="001347F6">
        <w:rPr>
          <w:sz w:val="24"/>
          <w:szCs w:val="24"/>
        </w:rPr>
        <w:t>) 596 UNTS 261 [‘VCCR’]</w:t>
      </w:r>
      <w:r w:rsidR="000B5DB7" w:rsidRPr="001347F6">
        <w:rPr>
          <w:sz w:val="24"/>
          <w:szCs w:val="24"/>
        </w:rPr>
        <w:fldChar w:fldCharType="begin"/>
      </w:r>
      <w:r w:rsidR="000B5DB7" w:rsidRPr="001347F6">
        <w:rPr>
          <w:sz w:val="24"/>
          <w:szCs w:val="24"/>
        </w:rPr>
        <w:instrText xml:space="preserve"> TA \s "VCCR" </w:instrText>
      </w:r>
      <w:r w:rsidR="000B5DB7" w:rsidRPr="001347F6">
        <w:rPr>
          <w:sz w:val="24"/>
          <w:szCs w:val="24"/>
        </w:rPr>
        <w:fldChar w:fldCharType="end"/>
      </w:r>
      <w:r w:rsidRPr="001347F6">
        <w:rPr>
          <w:sz w:val="24"/>
          <w:szCs w:val="24"/>
        </w:rPr>
        <w:t xml:space="preserve">, Art 36; IACHR, ‘Report No. 99/03 </w:t>
      </w:r>
      <w:r w:rsidRPr="001347F6">
        <w:rPr>
          <w:sz w:val="24"/>
          <w:szCs w:val="24"/>
          <w:highlight w:val="white"/>
        </w:rPr>
        <w:t>Cesar Fierro v. United States’ (29 December 2003) Case 11.331</w:t>
      </w:r>
      <w:r w:rsidR="006C5F55" w:rsidRPr="001347F6">
        <w:rPr>
          <w:sz w:val="24"/>
          <w:szCs w:val="24"/>
          <w:highlight w:val="white"/>
        </w:rPr>
        <w:fldChar w:fldCharType="begin"/>
      </w:r>
      <w:r w:rsidR="006C5F55" w:rsidRPr="001347F6">
        <w:rPr>
          <w:sz w:val="24"/>
          <w:szCs w:val="24"/>
        </w:rPr>
        <w:instrText xml:space="preserve"> TA \l "IACHR, ‘Report No. 99/03 </w:instrText>
      </w:r>
      <w:r w:rsidR="006C5F55" w:rsidRPr="001347F6">
        <w:rPr>
          <w:sz w:val="24"/>
          <w:szCs w:val="24"/>
          <w:highlight w:val="white"/>
        </w:rPr>
        <w:instrText>Cesar Fierro v. United States’ (29 December 2003) Case 11.331</w:instrText>
      </w:r>
      <w:r w:rsidR="006C5F55" w:rsidRPr="001347F6">
        <w:rPr>
          <w:sz w:val="24"/>
          <w:szCs w:val="24"/>
        </w:rPr>
        <w:instrText xml:space="preserve">" \s "Cesar Fierro v. United States" \c 4 </w:instrText>
      </w:r>
      <w:r w:rsidR="006C5F55" w:rsidRPr="001347F6">
        <w:rPr>
          <w:sz w:val="24"/>
          <w:szCs w:val="24"/>
          <w:highlight w:val="white"/>
        </w:rPr>
        <w:fldChar w:fldCharType="end"/>
      </w:r>
      <w:r w:rsidRPr="001347F6">
        <w:rPr>
          <w:sz w:val="24"/>
          <w:szCs w:val="24"/>
          <w:highlight w:val="white"/>
        </w:rPr>
        <w:t>, [66].</w:t>
      </w:r>
    </w:p>
    <w:p w14:paraId="7E9A9C0C" w14:textId="77777777" w:rsidR="008C2177" w:rsidRPr="001347F6" w:rsidRDefault="008C2177" w:rsidP="001347F6">
      <w:pPr>
        <w:widowControl/>
        <w:jc w:val="both"/>
        <w:rPr>
          <w:sz w:val="24"/>
          <w:szCs w:val="24"/>
          <w:highlight w:val="white"/>
        </w:rPr>
      </w:pPr>
    </w:p>
  </w:footnote>
  <w:footnote w:id="128">
    <w:p w14:paraId="0C6163A9" w14:textId="67A47E91" w:rsidR="008C2177" w:rsidRDefault="00000000" w:rsidP="001347F6">
      <w:pPr>
        <w:widowControl/>
        <w:jc w:val="both"/>
        <w:rPr>
          <w:sz w:val="24"/>
          <w:szCs w:val="24"/>
        </w:rPr>
      </w:pPr>
      <w:r w:rsidRPr="001347F6">
        <w:rPr>
          <w:sz w:val="24"/>
          <w:szCs w:val="24"/>
          <w:vertAlign w:val="superscript"/>
        </w:rPr>
        <w:footnoteRef/>
      </w:r>
      <w:r w:rsidRPr="001347F6">
        <w:rPr>
          <w:sz w:val="24"/>
          <w:szCs w:val="24"/>
          <w:highlight w:val="white"/>
        </w:rPr>
        <w:t xml:space="preserve"> </w:t>
      </w:r>
      <w:r w:rsidR="009D2BF1" w:rsidRPr="001347F6">
        <w:rPr>
          <w:sz w:val="24"/>
          <w:szCs w:val="24"/>
          <w:highlight w:val="white"/>
        </w:rPr>
        <w:t>VCCR</w:t>
      </w:r>
      <w:r w:rsidR="000B5DB7" w:rsidRPr="001347F6">
        <w:rPr>
          <w:sz w:val="24"/>
          <w:szCs w:val="24"/>
          <w:highlight w:val="white"/>
        </w:rPr>
        <w:fldChar w:fldCharType="begin"/>
      </w:r>
      <w:r w:rsidR="000B5DB7" w:rsidRPr="001347F6">
        <w:rPr>
          <w:sz w:val="24"/>
          <w:szCs w:val="24"/>
          <w:highlight w:val="white"/>
        </w:rPr>
        <w:instrText xml:space="preserve"> TA \s "VCCR" </w:instrText>
      </w:r>
      <w:r w:rsidR="000B5DB7" w:rsidRPr="001347F6">
        <w:rPr>
          <w:sz w:val="24"/>
          <w:szCs w:val="24"/>
          <w:highlight w:val="white"/>
        </w:rPr>
        <w:fldChar w:fldCharType="end"/>
      </w:r>
      <w:r w:rsidR="009D2BF1" w:rsidRPr="001347F6">
        <w:rPr>
          <w:sz w:val="24"/>
          <w:szCs w:val="24"/>
          <w:highlight w:val="white"/>
        </w:rPr>
        <w:t>, Preamble;</w:t>
      </w:r>
      <w:r w:rsidRPr="001347F6">
        <w:rPr>
          <w:sz w:val="24"/>
          <w:szCs w:val="24"/>
          <w:highlight w:val="white"/>
        </w:rPr>
        <w:t xml:space="preserve"> Jadhav</w:t>
      </w:r>
      <w:r w:rsidRPr="001347F6">
        <w:rPr>
          <w:i/>
          <w:sz w:val="24"/>
          <w:szCs w:val="24"/>
        </w:rPr>
        <w:t xml:space="preserve"> Case (India v. Pakistan)</w:t>
      </w:r>
      <w:r w:rsidRPr="001347F6">
        <w:rPr>
          <w:sz w:val="24"/>
          <w:szCs w:val="24"/>
        </w:rPr>
        <w:t xml:space="preserve"> (Merits) [2019] [‘</w:t>
      </w:r>
      <w:r w:rsidRPr="001347F6">
        <w:rPr>
          <w:i/>
          <w:sz w:val="24"/>
          <w:szCs w:val="24"/>
        </w:rPr>
        <w:t>Jadhav</w:t>
      </w:r>
      <w:r w:rsidRPr="001347F6">
        <w:rPr>
          <w:sz w:val="24"/>
          <w:szCs w:val="24"/>
        </w:rPr>
        <w:t>’] ICJ Rep 418</w:t>
      </w:r>
      <w:r w:rsidR="006C5F55" w:rsidRPr="001347F6">
        <w:rPr>
          <w:sz w:val="24"/>
          <w:szCs w:val="24"/>
        </w:rPr>
        <w:fldChar w:fldCharType="begin"/>
      </w:r>
      <w:r w:rsidR="006C5F55" w:rsidRPr="001347F6">
        <w:rPr>
          <w:sz w:val="24"/>
          <w:szCs w:val="24"/>
        </w:rPr>
        <w:instrText xml:space="preserve"> TA \l "</w:instrText>
      </w:r>
      <w:r w:rsidR="006C5F55" w:rsidRPr="001347F6">
        <w:rPr>
          <w:sz w:val="24"/>
          <w:szCs w:val="24"/>
          <w:highlight w:val="white"/>
        </w:rPr>
        <w:instrText>Jadhav</w:instrText>
      </w:r>
      <w:r w:rsidR="006C5F55" w:rsidRPr="001347F6">
        <w:rPr>
          <w:i/>
          <w:sz w:val="24"/>
          <w:szCs w:val="24"/>
        </w:rPr>
        <w:instrText xml:space="preserve"> Case (India v. Pakistan)</w:instrText>
      </w:r>
      <w:r w:rsidR="006C5F55" w:rsidRPr="001347F6">
        <w:rPr>
          <w:sz w:val="24"/>
          <w:szCs w:val="24"/>
        </w:rPr>
        <w:instrText xml:space="preserve"> (Merits) [2019] [‘</w:instrText>
      </w:r>
      <w:r w:rsidR="006C5F55" w:rsidRPr="001347F6">
        <w:rPr>
          <w:i/>
          <w:sz w:val="24"/>
          <w:szCs w:val="24"/>
        </w:rPr>
        <w:instrText>Jadhav</w:instrText>
      </w:r>
      <w:r w:rsidR="006C5F55" w:rsidRPr="001347F6">
        <w:rPr>
          <w:sz w:val="24"/>
          <w:szCs w:val="24"/>
        </w:rPr>
        <w:instrText xml:space="preserve">’] ICJ Rep 418" \s "Jadhav" \c 1 </w:instrText>
      </w:r>
      <w:r w:rsidR="006C5F55" w:rsidRPr="001347F6">
        <w:rPr>
          <w:sz w:val="24"/>
          <w:szCs w:val="24"/>
        </w:rPr>
        <w:fldChar w:fldCharType="end"/>
      </w:r>
      <w:r w:rsidRPr="001347F6">
        <w:rPr>
          <w:sz w:val="24"/>
          <w:szCs w:val="24"/>
        </w:rPr>
        <w:t xml:space="preserve"> [89]</w:t>
      </w:r>
      <w:r w:rsidR="009D2BF1" w:rsidRPr="001347F6">
        <w:rPr>
          <w:sz w:val="24"/>
          <w:szCs w:val="24"/>
        </w:rPr>
        <w:t>;</w:t>
      </w:r>
      <w:r w:rsidR="009D2BF1" w:rsidRPr="001347F6">
        <w:rPr>
          <w:sz w:val="24"/>
          <w:szCs w:val="24"/>
          <w:highlight w:val="white"/>
        </w:rPr>
        <w:t xml:space="preserve"> </w:t>
      </w:r>
      <w:r w:rsidR="009D2BF1" w:rsidRPr="001347F6">
        <w:rPr>
          <w:sz w:val="24"/>
          <w:szCs w:val="24"/>
          <w:highlight w:val="white"/>
        </w:rPr>
        <w:t>VCLT,</w:t>
      </w:r>
      <w:r w:rsidR="000B5DB7" w:rsidRPr="001347F6">
        <w:rPr>
          <w:sz w:val="24"/>
          <w:szCs w:val="24"/>
          <w:highlight w:val="white"/>
        </w:rPr>
        <w:fldChar w:fldCharType="begin"/>
      </w:r>
      <w:r w:rsidR="000B5DB7" w:rsidRPr="001347F6">
        <w:rPr>
          <w:sz w:val="24"/>
          <w:szCs w:val="24"/>
          <w:highlight w:val="white"/>
        </w:rPr>
        <w:instrText xml:space="preserve"> TA \s "VCLT," </w:instrText>
      </w:r>
      <w:r w:rsidR="000B5DB7" w:rsidRPr="001347F6">
        <w:rPr>
          <w:sz w:val="24"/>
          <w:szCs w:val="24"/>
          <w:highlight w:val="white"/>
        </w:rPr>
        <w:fldChar w:fldCharType="end"/>
      </w:r>
      <w:r w:rsidR="000E212C" w:rsidRPr="001347F6">
        <w:rPr>
          <w:sz w:val="24"/>
          <w:szCs w:val="24"/>
          <w:highlight w:val="white"/>
        </w:rPr>
        <w:t xml:space="preserve"> </w:t>
      </w:r>
      <w:r w:rsidR="009D2BF1" w:rsidRPr="001347F6">
        <w:rPr>
          <w:sz w:val="24"/>
          <w:szCs w:val="24"/>
          <w:highlight w:val="white"/>
        </w:rPr>
        <w:t>Art 31 (3)(c)</w:t>
      </w:r>
      <w:r w:rsidRPr="001347F6">
        <w:rPr>
          <w:sz w:val="24"/>
          <w:szCs w:val="24"/>
        </w:rPr>
        <w:t>.</w:t>
      </w:r>
    </w:p>
    <w:p w14:paraId="2FBEFCCB" w14:textId="77777777" w:rsidR="001347F6" w:rsidRPr="001347F6" w:rsidRDefault="001347F6" w:rsidP="001347F6">
      <w:pPr>
        <w:widowControl/>
        <w:jc w:val="both"/>
        <w:rPr>
          <w:i/>
          <w:sz w:val="24"/>
          <w:szCs w:val="24"/>
        </w:rPr>
      </w:pPr>
    </w:p>
    <w:p w14:paraId="0F390D9C" w14:textId="77777777" w:rsidR="008C2177" w:rsidRPr="001347F6" w:rsidRDefault="00000000" w:rsidP="001347F6">
      <w:pPr>
        <w:widowControl/>
        <w:jc w:val="both"/>
        <w:rPr>
          <w:sz w:val="24"/>
          <w:szCs w:val="24"/>
          <w:highlight w:val="white"/>
        </w:rPr>
      </w:pPr>
      <w:r w:rsidRPr="001347F6">
        <w:rPr>
          <w:sz w:val="24"/>
          <w:szCs w:val="24"/>
          <w:highlight w:val="white"/>
        </w:rPr>
        <w:t xml:space="preserve">                                       </w:t>
      </w:r>
    </w:p>
  </w:footnote>
  <w:footnote w:id="129">
    <w:p w14:paraId="1ACBCA87" w14:textId="047C7763" w:rsidR="008C2177" w:rsidRPr="001347F6" w:rsidRDefault="00000000" w:rsidP="001347F6">
      <w:pPr>
        <w:widowControl/>
        <w:jc w:val="both"/>
        <w:rPr>
          <w:i/>
          <w:sz w:val="24"/>
          <w:szCs w:val="24"/>
        </w:rPr>
      </w:pPr>
      <w:r w:rsidRPr="001347F6">
        <w:rPr>
          <w:sz w:val="24"/>
          <w:szCs w:val="24"/>
          <w:vertAlign w:val="superscript"/>
        </w:rPr>
        <w:footnoteRef/>
      </w:r>
      <w:r w:rsidR="006C5F55" w:rsidRPr="001347F6">
        <w:rPr>
          <w:i/>
          <w:sz w:val="24"/>
          <w:szCs w:val="24"/>
        </w:rPr>
        <w:fldChar w:fldCharType="begin"/>
      </w:r>
      <w:r w:rsidR="006C5F55" w:rsidRPr="001347F6">
        <w:rPr>
          <w:sz w:val="24"/>
          <w:szCs w:val="24"/>
        </w:rPr>
        <w:instrText xml:space="preserve"> TA \l "</w:instrText>
      </w:r>
      <w:r w:rsidR="006C5F55" w:rsidRPr="001347F6">
        <w:rPr>
          <w:i/>
          <w:sz w:val="24"/>
          <w:szCs w:val="24"/>
        </w:rPr>
        <w:instrText xml:space="preserve">Nottebohm Case </w:instrText>
      </w:r>
      <w:r w:rsidR="006C5F55" w:rsidRPr="001347F6">
        <w:rPr>
          <w:sz w:val="24"/>
          <w:szCs w:val="24"/>
        </w:rPr>
        <w:instrText>(Liechtenstein v. Guatemala) (Second phase) [1955] ICJ Rep 4 [‘</w:instrText>
      </w:r>
      <w:r w:rsidR="006C5F55" w:rsidRPr="001347F6">
        <w:rPr>
          <w:i/>
          <w:sz w:val="24"/>
          <w:szCs w:val="24"/>
        </w:rPr>
        <w:instrText>Nottebohm</w:instrText>
      </w:r>
      <w:r w:rsidR="006C5F55" w:rsidRPr="001347F6">
        <w:rPr>
          <w:sz w:val="24"/>
          <w:szCs w:val="24"/>
        </w:rPr>
        <w:instrText xml:space="preserve">’]" \s "Nottebohm" \c 1 </w:instrText>
      </w:r>
      <w:r w:rsidR="006C5F55" w:rsidRPr="001347F6">
        <w:rPr>
          <w:i/>
          <w:sz w:val="24"/>
          <w:szCs w:val="24"/>
        </w:rPr>
        <w:fldChar w:fldCharType="end"/>
      </w:r>
      <w:r w:rsidRPr="001347F6">
        <w:rPr>
          <w:i/>
          <w:sz w:val="24"/>
          <w:szCs w:val="24"/>
        </w:rPr>
        <w:t xml:space="preserve">Nottebohm Case </w:t>
      </w:r>
      <w:r w:rsidRPr="001347F6">
        <w:rPr>
          <w:sz w:val="24"/>
          <w:szCs w:val="24"/>
        </w:rPr>
        <w:t>(Liechtenstein v. Guatemala) (Second phase) [1955] ICJ Rep 4 [‘</w:t>
      </w:r>
      <w:r w:rsidRPr="001347F6">
        <w:rPr>
          <w:i/>
          <w:sz w:val="24"/>
          <w:szCs w:val="24"/>
        </w:rPr>
        <w:t>Nottebohm</w:t>
      </w:r>
      <w:r w:rsidRPr="001347F6">
        <w:rPr>
          <w:sz w:val="24"/>
          <w:szCs w:val="24"/>
        </w:rPr>
        <w:t xml:space="preserve">’], pp. 20; </w:t>
      </w:r>
      <w:r w:rsidRPr="001347F6">
        <w:rPr>
          <w:i/>
          <w:sz w:val="24"/>
          <w:szCs w:val="24"/>
        </w:rPr>
        <w:t xml:space="preserve">Micheletti and Others v Delegación del Gobierno en Cantabria </w:t>
      </w:r>
      <w:r w:rsidRPr="001347F6">
        <w:rPr>
          <w:sz w:val="24"/>
          <w:szCs w:val="24"/>
        </w:rPr>
        <w:t>(</w:t>
      </w:r>
      <w:r w:rsidR="007D1B71">
        <w:rPr>
          <w:sz w:val="24"/>
          <w:szCs w:val="24"/>
        </w:rPr>
        <w:t>Judgment</w:t>
      </w:r>
      <w:r w:rsidRPr="001347F6">
        <w:rPr>
          <w:sz w:val="24"/>
          <w:szCs w:val="24"/>
        </w:rPr>
        <w:t>) CJEU C-369/90 (7 July 1992)</w:t>
      </w:r>
      <w:r w:rsidR="006C5F55" w:rsidRPr="001347F6">
        <w:rPr>
          <w:sz w:val="24"/>
          <w:szCs w:val="24"/>
        </w:rPr>
        <w:fldChar w:fldCharType="begin"/>
      </w:r>
      <w:r w:rsidR="006C5F55" w:rsidRPr="001347F6">
        <w:rPr>
          <w:sz w:val="24"/>
          <w:szCs w:val="24"/>
        </w:rPr>
        <w:instrText xml:space="preserve"> TA \l "</w:instrText>
      </w:r>
      <w:r w:rsidR="006C5F55" w:rsidRPr="001347F6">
        <w:rPr>
          <w:i/>
          <w:sz w:val="24"/>
          <w:szCs w:val="24"/>
        </w:rPr>
        <w:instrText xml:space="preserve">Micheletti and Others v Delegación del Gobierno en Cantabria </w:instrText>
      </w:r>
      <w:r w:rsidR="006C5F55" w:rsidRPr="001347F6">
        <w:rPr>
          <w:sz w:val="24"/>
          <w:szCs w:val="24"/>
        </w:rPr>
        <w:instrText xml:space="preserve">(Judgement) CJEU C-369/90 (7 July 1992)" \s "Micheletti and Others v Delegación del Gobierno en Cantabria" \c 4 </w:instrText>
      </w:r>
      <w:r w:rsidR="006C5F55" w:rsidRPr="001347F6">
        <w:rPr>
          <w:sz w:val="24"/>
          <w:szCs w:val="24"/>
        </w:rPr>
        <w:fldChar w:fldCharType="end"/>
      </w:r>
      <w:r w:rsidRPr="001347F6">
        <w:rPr>
          <w:sz w:val="24"/>
          <w:szCs w:val="24"/>
        </w:rPr>
        <w:t xml:space="preserve"> [10]; </w:t>
      </w:r>
      <w:r w:rsidRPr="001347F6">
        <w:rPr>
          <w:i/>
          <w:sz w:val="24"/>
          <w:szCs w:val="24"/>
        </w:rPr>
        <w:t>Nationality Decrees Issued in Tunis and Morocco</w:t>
      </w:r>
      <w:r w:rsidRPr="001347F6">
        <w:rPr>
          <w:sz w:val="24"/>
          <w:szCs w:val="24"/>
        </w:rPr>
        <w:t xml:space="preserve"> (Advisory Opinion) (1923) PCIJ Series B No. 4</w:t>
      </w:r>
      <w:r w:rsidR="006C5F55" w:rsidRPr="001347F6">
        <w:rPr>
          <w:sz w:val="24"/>
          <w:szCs w:val="24"/>
        </w:rPr>
        <w:fldChar w:fldCharType="begin"/>
      </w:r>
      <w:r w:rsidR="006C5F55" w:rsidRPr="001347F6">
        <w:rPr>
          <w:sz w:val="24"/>
          <w:szCs w:val="24"/>
        </w:rPr>
        <w:instrText xml:space="preserve"> TA \l "</w:instrText>
      </w:r>
      <w:r w:rsidR="006C5F55" w:rsidRPr="001347F6">
        <w:rPr>
          <w:i/>
          <w:sz w:val="24"/>
          <w:szCs w:val="24"/>
        </w:rPr>
        <w:instrText>Nationality Decrees Issued in Tunis and Morocco</w:instrText>
      </w:r>
      <w:r w:rsidR="006C5F55" w:rsidRPr="001347F6">
        <w:rPr>
          <w:sz w:val="24"/>
          <w:szCs w:val="24"/>
        </w:rPr>
        <w:instrText xml:space="preserve"> (Advisory Opinion) (1923) PCIJ Series B No. 4" \s "Nationality Decrees Issued in Tunis and Morocco" \c 1 </w:instrText>
      </w:r>
      <w:r w:rsidR="006C5F55" w:rsidRPr="001347F6">
        <w:rPr>
          <w:sz w:val="24"/>
          <w:szCs w:val="24"/>
        </w:rPr>
        <w:fldChar w:fldCharType="end"/>
      </w:r>
      <w:r w:rsidRPr="001347F6">
        <w:rPr>
          <w:sz w:val="24"/>
          <w:szCs w:val="24"/>
        </w:rPr>
        <w:t xml:space="preserve">, pp. 24; </w:t>
      </w:r>
      <w:r w:rsidRPr="001347F6">
        <w:rPr>
          <w:i/>
          <w:sz w:val="24"/>
          <w:szCs w:val="24"/>
        </w:rPr>
        <w:t xml:space="preserve">Ruiz Zambrano </w:t>
      </w:r>
      <w:r w:rsidRPr="001347F6">
        <w:rPr>
          <w:sz w:val="24"/>
          <w:szCs w:val="24"/>
        </w:rPr>
        <w:t>(Judgment) CJEU C-34/09 (8 March 2011)</w:t>
      </w:r>
      <w:r w:rsidR="006C5F55" w:rsidRPr="001347F6">
        <w:rPr>
          <w:sz w:val="24"/>
          <w:szCs w:val="24"/>
        </w:rPr>
        <w:fldChar w:fldCharType="begin"/>
      </w:r>
      <w:r w:rsidR="006C5F55" w:rsidRPr="001347F6">
        <w:rPr>
          <w:sz w:val="24"/>
          <w:szCs w:val="24"/>
        </w:rPr>
        <w:instrText xml:space="preserve"> TA \l "</w:instrText>
      </w:r>
      <w:r w:rsidR="006C5F55" w:rsidRPr="001347F6">
        <w:rPr>
          <w:i/>
          <w:sz w:val="24"/>
          <w:szCs w:val="24"/>
        </w:rPr>
        <w:instrText xml:space="preserve">Ruiz Zambrano </w:instrText>
      </w:r>
      <w:r w:rsidR="006C5F55" w:rsidRPr="001347F6">
        <w:rPr>
          <w:sz w:val="24"/>
          <w:szCs w:val="24"/>
        </w:rPr>
        <w:instrText xml:space="preserve">(Judgment) CJEU C-34/09 (8 March 2011)" \s "Ruiz Zambrano" \c 4 </w:instrText>
      </w:r>
      <w:r w:rsidR="006C5F55" w:rsidRPr="001347F6">
        <w:rPr>
          <w:sz w:val="24"/>
          <w:szCs w:val="24"/>
        </w:rPr>
        <w:fldChar w:fldCharType="end"/>
      </w:r>
      <w:r w:rsidRPr="001347F6">
        <w:rPr>
          <w:sz w:val="24"/>
          <w:szCs w:val="24"/>
        </w:rPr>
        <w:t xml:space="preserve"> [40].</w:t>
      </w:r>
    </w:p>
    <w:p w14:paraId="17256101" w14:textId="77777777" w:rsidR="008C2177" w:rsidRPr="001347F6" w:rsidRDefault="008C2177" w:rsidP="001347F6">
      <w:pPr>
        <w:widowControl/>
        <w:jc w:val="both"/>
        <w:rPr>
          <w:sz w:val="24"/>
          <w:szCs w:val="24"/>
        </w:rPr>
      </w:pPr>
    </w:p>
  </w:footnote>
  <w:footnote w:id="130">
    <w:p w14:paraId="1007338A" w14:textId="331FEF97"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Lazarus, L. </w:t>
      </w:r>
      <w:r w:rsidRPr="001347F6">
        <w:rPr>
          <w:i/>
          <w:sz w:val="24"/>
          <w:szCs w:val="24"/>
        </w:rPr>
        <w:t>Red Flags Among Golden Passports: An Analysis of Chinese Influence In Five Caribbean Citizenship By Investment Programs</w:t>
      </w:r>
      <w:r w:rsidRPr="001347F6">
        <w:rPr>
          <w:sz w:val="24"/>
          <w:szCs w:val="24"/>
        </w:rPr>
        <w:t xml:space="preserve"> (FIU 2023)</w:t>
      </w:r>
      <w:r w:rsidR="006C5F55" w:rsidRPr="001347F6">
        <w:rPr>
          <w:sz w:val="24"/>
          <w:szCs w:val="24"/>
        </w:rPr>
        <w:fldChar w:fldCharType="begin"/>
      </w:r>
      <w:r w:rsidR="006C5F55" w:rsidRPr="001347F6">
        <w:rPr>
          <w:sz w:val="24"/>
          <w:szCs w:val="24"/>
        </w:rPr>
        <w:instrText xml:space="preserve"> TA \l "Lazarus, L. </w:instrText>
      </w:r>
      <w:r w:rsidR="006C5F55" w:rsidRPr="001347F6">
        <w:rPr>
          <w:i/>
          <w:sz w:val="24"/>
          <w:szCs w:val="24"/>
        </w:rPr>
        <w:instrText>Red Flags Among Golden Passports: An Analysis of Chinese Influence In Five Caribbean Citizenship By Investment Programs</w:instrText>
      </w:r>
      <w:r w:rsidR="006C5F55" w:rsidRPr="001347F6">
        <w:rPr>
          <w:sz w:val="24"/>
          <w:szCs w:val="24"/>
        </w:rPr>
        <w:instrText xml:space="preserve"> (FIU 2023)" \s "Lazarus, L." \c 6 </w:instrText>
      </w:r>
      <w:r w:rsidR="006C5F55" w:rsidRPr="001347F6">
        <w:rPr>
          <w:sz w:val="24"/>
          <w:szCs w:val="24"/>
        </w:rPr>
        <w:fldChar w:fldCharType="end"/>
      </w:r>
      <w:r w:rsidRPr="001347F6">
        <w:rPr>
          <w:sz w:val="24"/>
          <w:szCs w:val="24"/>
        </w:rPr>
        <w:t>, pp. 3.</w:t>
      </w:r>
    </w:p>
    <w:p w14:paraId="7F50F63E" w14:textId="77777777" w:rsidR="008C2177" w:rsidRPr="001347F6" w:rsidRDefault="008C2177" w:rsidP="001347F6">
      <w:pPr>
        <w:widowControl/>
        <w:jc w:val="both"/>
        <w:rPr>
          <w:sz w:val="24"/>
          <w:szCs w:val="24"/>
        </w:rPr>
      </w:pPr>
    </w:p>
  </w:footnote>
  <w:footnote w:id="131">
    <w:p w14:paraId="6003A2CE" w14:textId="283CF66B"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w:t>
      </w:r>
      <w:r w:rsidRPr="001347F6">
        <w:rPr>
          <w:i/>
          <w:sz w:val="24"/>
          <w:szCs w:val="24"/>
        </w:rPr>
        <w:t>DADP with Commentaries</w:t>
      </w:r>
      <w:r w:rsidR="008A3D5E" w:rsidRPr="001347F6">
        <w:rPr>
          <w:i/>
          <w:sz w:val="24"/>
          <w:szCs w:val="24"/>
        </w:rPr>
        <w:fldChar w:fldCharType="begin"/>
      </w:r>
      <w:r w:rsidR="008A3D5E" w:rsidRPr="001347F6">
        <w:rPr>
          <w:i/>
          <w:sz w:val="24"/>
          <w:szCs w:val="24"/>
        </w:rPr>
        <w:instrText xml:space="preserve"> TA \s "DADP with Commentaries" </w:instrText>
      </w:r>
      <w:r w:rsidR="008A3D5E" w:rsidRPr="001347F6">
        <w:rPr>
          <w:i/>
          <w:sz w:val="24"/>
          <w:szCs w:val="24"/>
        </w:rPr>
        <w:fldChar w:fldCharType="end"/>
      </w:r>
      <w:r w:rsidRPr="001347F6">
        <w:rPr>
          <w:i/>
          <w:sz w:val="24"/>
          <w:szCs w:val="24"/>
        </w:rPr>
        <w:t>,</w:t>
      </w:r>
      <w:r w:rsidRPr="001347F6">
        <w:rPr>
          <w:sz w:val="24"/>
          <w:szCs w:val="24"/>
        </w:rPr>
        <w:t xml:space="preserve"> Art 4 [3]</w:t>
      </w:r>
      <w:r w:rsidR="00F666A4" w:rsidRPr="001347F6">
        <w:rPr>
          <w:sz w:val="24"/>
          <w:szCs w:val="24"/>
        </w:rPr>
        <w:t>;</w:t>
      </w:r>
      <w:r w:rsidRPr="001347F6">
        <w:rPr>
          <w:sz w:val="24"/>
          <w:szCs w:val="24"/>
        </w:rPr>
        <w:t xml:space="preserve"> </w:t>
      </w:r>
      <w:r w:rsidRPr="001347F6">
        <w:rPr>
          <w:sz w:val="24"/>
          <w:szCs w:val="24"/>
          <w:highlight w:val="white"/>
        </w:rPr>
        <w:t>European Convention on Nationality</w:t>
      </w:r>
      <w:r w:rsidR="0008059B" w:rsidRPr="001347F6">
        <w:rPr>
          <w:sz w:val="24"/>
          <w:szCs w:val="24"/>
          <w:highlight w:val="white"/>
        </w:rPr>
        <w:fldChar w:fldCharType="begin"/>
      </w:r>
      <w:r w:rsidR="0008059B" w:rsidRPr="001347F6">
        <w:rPr>
          <w:sz w:val="24"/>
          <w:szCs w:val="24"/>
          <w:highlight w:val="white"/>
        </w:rPr>
        <w:instrText xml:space="preserve"> TA \s "European Convention on Nationality" </w:instrText>
      </w:r>
      <w:r w:rsidR="0008059B" w:rsidRPr="001347F6">
        <w:rPr>
          <w:sz w:val="24"/>
          <w:szCs w:val="24"/>
          <w:highlight w:val="white"/>
        </w:rPr>
        <w:fldChar w:fldCharType="end"/>
      </w:r>
      <w:r w:rsidRPr="001347F6">
        <w:rPr>
          <w:sz w:val="24"/>
          <w:szCs w:val="24"/>
          <w:highlight w:val="white"/>
        </w:rPr>
        <w:t>,</w:t>
      </w:r>
      <w:r w:rsidRPr="001347F6">
        <w:rPr>
          <w:sz w:val="24"/>
          <w:szCs w:val="24"/>
        </w:rPr>
        <w:t xml:space="preserve"> Art 6.</w:t>
      </w:r>
    </w:p>
    <w:p w14:paraId="0689A376" w14:textId="77777777" w:rsidR="008C2177" w:rsidRPr="001347F6" w:rsidRDefault="008C2177" w:rsidP="001347F6">
      <w:pPr>
        <w:widowControl/>
        <w:jc w:val="both"/>
        <w:rPr>
          <w:sz w:val="24"/>
          <w:szCs w:val="24"/>
        </w:rPr>
      </w:pPr>
    </w:p>
  </w:footnote>
  <w:footnote w:id="132">
    <w:p w14:paraId="6950AB8C" w14:textId="4A127DC8"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Adim, L. </w:t>
      </w:r>
      <w:r w:rsidRPr="001347F6">
        <w:rPr>
          <w:i/>
          <w:sz w:val="24"/>
          <w:szCs w:val="24"/>
        </w:rPr>
        <w:t>Residence and Citizenship by Investment: an updated database on Immigrant Investor Programs</w:t>
      </w:r>
      <w:r w:rsidRPr="001347F6">
        <w:rPr>
          <w:sz w:val="24"/>
          <w:szCs w:val="24"/>
        </w:rPr>
        <w:t xml:space="preserve"> (FLUB 2021)</w:t>
      </w:r>
      <w:r w:rsidR="006C5F55" w:rsidRPr="001347F6">
        <w:rPr>
          <w:sz w:val="24"/>
          <w:szCs w:val="24"/>
        </w:rPr>
        <w:fldChar w:fldCharType="begin"/>
      </w:r>
      <w:r w:rsidR="006C5F55" w:rsidRPr="001347F6">
        <w:rPr>
          <w:sz w:val="24"/>
          <w:szCs w:val="24"/>
        </w:rPr>
        <w:instrText xml:space="preserve"> TA \l "Adim, L. </w:instrText>
      </w:r>
      <w:r w:rsidR="006C5F55" w:rsidRPr="001347F6">
        <w:rPr>
          <w:i/>
          <w:sz w:val="24"/>
          <w:szCs w:val="24"/>
        </w:rPr>
        <w:instrText>Residence and Citizenship by Investment: an updated database on Immigrant Investor Programs</w:instrText>
      </w:r>
      <w:r w:rsidR="006C5F55" w:rsidRPr="001347F6">
        <w:rPr>
          <w:sz w:val="24"/>
          <w:szCs w:val="24"/>
        </w:rPr>
        <w:instrText xml:space="preserve"> (FLUB 2021)" \s "Adim, L" \c 6 </w:instrText>
      </w:r>
      <w:r w:rsidR="006C5F55" w:rsidRPr="001347F6">
        <w:rPr>
          <w:sz w:val="24"/>
          <w:szCs w:val="24"/>
        </w:rPr>
        <w:fldChar w:fldCharType="end"/>
      </w:r>
      <w:r w:rsidRPr="001347F6">
        <w:rPr>
          <w:sz w:val="24"/>
          <w:szCs w:val="24"/>
        </w:rPr>
        <w:t>, pp. 2-1</w:t>
      </w:r>
      <w:r w:rsidR="009D2BF1" w:rsidRPr="001347F6">
        <w:rPr>
          <w:sz w:val="24"/>
          <w:szCs w:val="24"/>
        </w:rPr>
        <w:t>2</w:t>
      </w:r>
      <w:r w:rsidRPr="001347F6">
        <w:rPr>
          <w:sz w:val="24"/>
          <w:szCs w:val="24"/>
        </w:rPr>
        <w:t xml:space="preserve">. </w:t>
      </w:r>
    </w:p>
    <w:p w14:paraId="56D21737" w14:textId="77777777" w:rsidR="008C2177" w:rsidRPr="001347F6" w:rsidRDefault="008C2177" w:rsidP="001347F6">
      <w:pPr>
        <w:widowControl/>
        <w:jc w:val="both"/>
        <w:rPr>
          <w:sz w:val="24"/>
          <w:szCs w:val="24"/>
        </w:rPr>
      </w:pPr>
    </w:p>
  </w:footnote>
  <w:footnote w:id="133">
    <w:p w14:paraId="54D16E66" w14:textId="45021E06"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w:t>
      </w:r>
      <w:r w:rsidRPr="001347F6">
        <w:rPr>
          <w:sz w:val="24"/>
          <w:szCs w:val="24"/>
          <w:highlight w:val="white"/>
        </w:rPr>
        <w:t>ILC, ‘Draft conclusions on identification of customary international law with commentaries adopted by the ILC at its seventieth session, in 2018, and submitted to the UNGA as a part of the Commission’s report covering the work of that session’ UN Doc A/73/10</w:t>
      </w:r>
      <w:r w:rsidR="006C5F55" w:rsidRPr="001347F6">
        <w:rPr>
          <w:sz w:val="24"/>
          <w:szCs w:val="24"/>
          <w:highlight w:val="white"/>
        </w:rPr>
        <w:fldChar w:fldCharType="begin"/>
      </w:r>
      <w:r w:rsidR="006C5F55" w:rsidRPr="001347F6">
        <w:rPr>
          <w:sz w:val="24"/>
          <w:szCs w:val="24"/>
        </w:rPr>
        <w:instrText xml:space="preserve"> TA \l "</w:instrText>
      </w:r>
      <w:r w:rsidR="006C5F55" w:rsidRPr="001347F6">
        <w:rPr>
          <w:sz w:val="24"/>
          <w:szCs w:val="24"/>
          <w:highlight w:val="white"/>
        </w:rPr>
        <w:instrText>ILC, ‘Draft conclusions on identification of customary international law with commentaries adopted by the ILC at its seventieth session, in 2018, and submitted to the UNGA as a part of the Commission’s report covering the work of that session’ UN Doc A/73/10</w:instrText>
      </w:r>
      <w:r w:rsidR="006C5F55" w:rsidRPr="001347F6">
        <w:rPr>
          <w:sz w:val="24"/>
          <w:szCs w:val="24"/>
        </w:rPr>
        <w:instrText xml:space="preserve">" \s "UN Doc A/73" \c 7 </w:instrText>
      </w:r>
      <w:r w:rsidR="006C5F55" w:rsidRPr="001347F6">
        <w:rPr>
          <w:sz w:val="24"/>
          <w:szCs w:val="24"/>
          <w:highlight w:val="white"/>
        </w:rPr>
        <w:fldChar w:fldCharType="end"/>
      </w:r>
      <w:r w:rsidRPr="001347F6">
        <w:rPr>
          <w:sz w:val="24"/>
          <w:szCs w:val="24"/>
          <w:highlight w:val="white"/>
        </w:rPr>
        <w:t>, Conclusion 10(2)</w:t>
      </w:r>
      <w:r w:rsidRPr="001347F6">
        <w:rPr>
          <w:sz w:val="24"/>
          <w:szCs w:val="24"/>
        </w:rPr>
        <w:t xml:space="preserve">. </w:t>
      </w:r>
    </w:p>
    <w:p w14:paraId="01851B98" w14:textId="77777777" w:rsidR="008C2177" w:rsidRPr="001347F6" w:rsidRDefault="008C2177" w:rsidP="001347F6">
      <w:pPr>
        <w:widowControl/>
        <w:jc w:val="both"/>
        <w:rPr>
          <w:sz w:val="24"/>
          <w:szCs w:val="24"/>
        </w:rPr>
      </w:pPr>
    </w:p>
  </w:footnote>
  <w:footnote w:id="134">
    <w:p w14:paraId="58780DBD" w14:textId="0DD3F728"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European Parliament Resolution 2013/2995 ‘on EU citizenship for sale’ (16 January 2014) OJ C482/16</w:t>
      </w:r>
      <w:r w:rsidR="0090582E" w:rsidRPr="001347F6">
        <w:rPr>
          <w:sz w:val="24"/>
          <w:szCs w:val="24"/>
        </w:rPr>
        <w:fldChar w:fldCharType="begin"/>
      </w:r>
      <w:r w:rsidR="0090582E" w:rsidRPr="001347F6">
        <w:rPr>
          <w:sz w:val="24"/>
          <w:szCs w:val="24"/>
        </w:rPr>
        <w:instrText xml:space="preserve"> TA \l "European Parliament Resolution 2013/2995 ‘on EU citizenship for sale’ (16 January 2014) OJ C482/16" \s "European Parliament Resolution 2013/2995 ‘on EU citizenship for sale’ (16 January 2014) OJ C482/16" \c 7 </w:instrText>
      </w:r>
      <w:r w:rsidR="0090582E" w:rsidRPr="001347F6">
        <w:rPr>
          <w:sz w:val="24"/>
          <w:szCs w:val="24"/>
        </w:rPr>
        <w:fldChar w:fldCharType="end"/>
      </w:r>
      <w:r w:rsidRPr="001347F6">
        <w:rPr>
          <w:sz w:val="24"/>
          <w:szCs w:val="24"/>
        </w:rPr>
        <w:t>; European Commission ‘infringements against Cyprus and Malta for selling EU citizenship’ (20 October 2020)</w:t>
      </w:r>
      <w:r w:rsidR="0090582E" w:rsidRPr="001347F6">
        <w:rPr>
          <w:sz w:val="24"/>
          <w:szCs w:val="24"/>
        </w:rPr>
        <w:fldChar w:fldCharType="begin"/>
      </w:r>
      <w:r w:rsidR="0090582E" w:rsidRPr="001347F6">
        <w:rPr>
          <w:sz w:val="24"/>
          <w:szCs w:val="24"/>
        </w:rPr>
        <w:instrText xml:space="preserve"> TA \l "European Commission ‘infringements against Cyprus and Malta for selling EU citizenship’ (20 October 2020)" \s "European Commission ‘infringements against Cyprus and Malta for selling EU citizenship’ (20 October 2020)" \c 7 </w:instrText>
      </w:r>
      <w:r w:rsidR="0090582E" w:rsidRPr="001347F6">
        <w:rPr>
          <w:sz w:val="24"/>
          <w:szCs w:val="24"/>
        </w:rPr>
        <w:fldChar w:fldCharType="end"/>
      </w:r>
      <w:r w:rsidRPr="001347F6">
        <w:rPr>
          <w:sz w:val="24"/>
          <w:szCs w:val="24"/>
        </w:rPr>
        <w:t>.</w:t>
      </w:r>
    </w:p>
  </w:footnote>
  <w:footnote w:id="135">
    <w:p w14:paraId="10B3F2D7" w14:textId="0EC78DA8"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w:t>
      </w:r>
      <w:r w:rsidRPr="001347F6">
        <w:rPr>
          <w:i/>
          <w:sz w:val="24"/>
          <w:szCs w:val="24"/>
        </w:rPr>
        <w:t>Nottebohm</w:t>
      </w:r>
      <w:r w:rsidR="006C5F55" w:rsidRPr="001347F6">
        <w:rPr>
          <w:i/>
          <w:sz w:val="24"/>
          <w:szCs w:val="24"/>
        </w:rPr>
        <w:fldChar w:fldCharType="begin"/>
      </w:r>
      <w:r w:rsidR="006C5F55" w:rsidRPr="001347F6">
        <w:rPr>
          <w:i/>
          <w:sz w:val="24"/>
          <w:szCs w:val="24"/>
        </w:rPr>
        <w:instrText xml:space="preserve"> TA \s "Nottebohm" </w:instrText>
      </w:r>
      <w:r w:rsidR="006C5F55" w:rsidRPr="001347F6">
        <w:rPr>
          <w:i/>
          <w:sz w:val="24"/>
          <w:szCs w:val="24"/>
        </w:rPr>
        <w:fldChar w:fldCharType="end"/>
      </w:r>
      <w:r w:rsidRPr="001347F6">
        <w:rPr>
          <w:sz w:val="24"/>
          <w:szCs w:val="24"/>
        </w:rPr>
        <w:t>, pp. 23; Bello, J.,</w:t>
      </w:r>
      <w:r w:rsidRPr="001347F6">
        <w:rPr>
          <w:i/>
          <w:sz w:val="24"/>
          <w:szCs w:val="24"/>
        </w:rPr>
        <w:t xml:space="preserve"> If Mr Nottebohm Had a Golden Passport: A Study of the Obligations for Third Countries under International Law Regarding Citizenship-For-Sale</w:t>
      </w:r>
      <w:r w:rsidRPr="001347F6">
        <w:rPr>
          <w:sz w:val="24"/>
          <w:szCs w:val="24"/>
        </w:rPr>
        <w:t xml:space="preserve"> (CILJ 2019)</w:t>
      </w:r>
      <w:r w:rsidR="0090582E" w:rsidRPr="001347F6">
        <w:rPr>
          <w:sz w:val="24"/>
          <w:szCs w:val="24"/>
        </w:rPr>
        <w:fldChar w:fldCharType="begin"/>
      </w:r>
      <w:r w:rsidR="0090582E" w:rsidRPr="001347F6">
        <w:rPr>
          <w:sz w:val="24"/>
          <w:szCs w:val="24"/>
        </w:rPr>
        <w:instrText xml:space="preserve"> TA \l "Bello, J.,</w:instrText>
      </w:r>
      <w:r w:rsidR="0090582E" w:rsidRPr="001347F6">
        <w:rPr>
          <w:i/>
          <w:sz w:val="24"/>
          <w:szCs w:val="24"/>
        </w:rPr>
        <w:instrText xml:space="preserve"> If Mr Nottebohm Had a Golden Passport: A Study of the Obligations for Third Countries under International Law Regarding Citizenship-For-Sale</w:instrText>
      </w:r>
      <w:r w:rsidR="0090582E" w:rsidRPr="001347F6">
        <w:rPr>
          <w:sz w:val="24"/>
          <w:szCs w:val="24"/>
        </w:rPr>
        <w:instrText xml:space="preserve"> (CILJ 2019)" \s "Bello, J." \c 6 </w:instrText>
      </w:r>
      <w:r w:rsidR="0090582E" w:rsidRPr="001347F6">
        <w:rPr>
          <w:sz w:val="24"/>
          <w:szCs w:val="24"/>
        </w:rPr>
        <w:fldChar w:fldCharType="end"/>
      </w:r>
      <w:r w:rsidRPr="001347F6">
        <w:rPr>
          <w:sz w:val="24"/>
          <w:szCs w:val="24"/>
        </w:rPr>
        <w:t xml:space="preserve"> pp. 7.</w:t>
      </w:r>
    </w:p>
    <w:p w14:paraId="6277DA26" w14:textId="77777777" w:rsidR="008C2177" w:rsidRPr="001347F6" w:rsidRDefault="008C2177" w:rsidP="001347F6">
      <w:pPr>
        <w:widowControl/>
        <w:jc w:val="both"/>
        <w:rPr>
          <w:sz w:val="24"/>
          <w:szCs w:val="24"/>
        </w:rPr>
      </w:pPr>
    </w:p>
  </w:footnote>
  <w:footnote w:id="136">
    <w:p w14:paraId="2AF8DEEA" w14:textId="5BAA90C3"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w:t>
      </w:r>
      <w:r w:rsidRPr="001347F6">
        <w:rPr>
          <w:i/>
          <w:sz w:val="24"/>
          <w:szCs w:val="24"/>
        </w:rPr>
        <w:t>Iran v. USA</w:t>
      </w:r>
      <w:r w:rsidRPr="001347F6">
        <w:rPr>
          <w:sz w:val="24"/>
          <w:szCs w:val="24"/>
        </w:rPr>
        <w:t xml:space="preserve"> (1984) 32 IUSCT 18 [‘</w:t>
      </w:r>
      <w:r w:rsidRPr="001347F6">
        <w:rPr>
          <w:i/>
          <w:sz w:val="24"/>
          <w:szCs w:val="24"/>
        </w:rPr>
        <w:t>Iran v. USA 1984</w:t>
      </w:r>
      <w:r w:rsidRPr="001347F6">
        <w:rPr>
          <w:sz w:val="24"/>
          <w:szCs w:val="24"/>
        </w:rPr>
        <w:t>’]</w:t>
      </w:r>
      <w:r w:rsidR="0090582E" w:rsidRPr="001347F6">
        <w:rPr>
          <w:sz w:val="24"/>
          <w:szCs w:val="24"/>
        </w:rPr>
        <w:fldChar w:fldCharType="begin"/>
      </w:r>
      <w:r w:rsidR="0090582E" w:rsidRPr="001347F6">
        <w:rPr>
          <w:sz w:val="24"/>
          <w:szCs w:val="24"/>
        </w:rPr>
        <w:instrText xml:space="preserve"> TA \l "</w:instrText>
      </w:r>
      <w:r w:rsidR="0090582E" w:rsidRPr="001347F6">
        <w:rPr>
          <w:i/>
          <w:sz w:val="24"/>
          <w:szCs w:val="24"/>
        </w:rPr>
        <w:instrText>Iran v. USA</w:instrText>
      </w:r>
      <w:r w:rsidR="0090582E" w:rsidRPr="001347F6">
        <w:rPr>
          <w:sz w:val="24"/>
          <w:szCs w:val="24"/>
        </w:rPr>
        <w:instrText xml:space="preserve"> (1984) 32 IUSCT 18 [‘</w:instrText>
      </w:r>
      <w:r w:rsidR="0090582E" w:rsidRPr="001347F6">
        <w:rPr>
          <w:i/>
          <w:sz w:val="24"/>
          <w:szCs w:val="24"/>
        </w:rPr>
        <w:instrText>Iran v. USA 1984</w:instrText>
      </w:r>
      <w:r w:rsidR="0090582E" w:rsidRPr="001347F6">
        <w:rPr>
          <w:sz w:val="24"/>
          <w:szCs w:val="24"/>
        </w:rPr>
        <w:instrText xml:space="preserve">’]" \s "Iran v. USA 1984" \c 4 </w:instrText>
      </w:r>
      <w:r w:rsidR="0090582E" w:rsidRPr="001347F6">
        <w:rPr>
          <w:sz w:val="24"/>
          <w:szCs w:val="24"/>
        </w:rPr>
        <w:fldChar w:fldCharType="end"/>
      </w:r>
      <w:r w:rsidRPr="001347F6">
        <w:rPr>
          <w:sz w:val="24"/>
          <w:szCs w:val="24"/>
        </w:rPr>
        <w:t>[47]-[50]; UNGA ‘First report on diplomatic protection by John Dugard’ (7 March 2000) UN Doc A/CN.4/506, [‘John Dugard Report’]</w:t>
      </w:r>
      <w:r w:rsidR="0090582E" w:rsidRPr="001347F6">
        <w:rPr>
          <w:sz w:val="24"/>
          <w:szCs w:val="24"/>
        </w:rPr>
        <w:fldChar w:fldCharType="begin"/>
      </w:r>
      <w:r w:rsidR="0090582E" w:rsidRPr="001347F6">
        <w:rPr>
          <w:sz w:val="24"/>
          <w:szCs w:val="24"/>
        </w:rPr>
        <w:instrText xml:space="preserve"> TA \l "UNGA ‘First report on diplomatic protection by John Dugard’ (7 March 2000) UN Doc A/CN.4/506, [‘John Dugard Report’]" \s "John Dugard Report" \c 3 </w:instrText>
      </w:r>
      <w:r w:rsidR="0090582E" w:rsidRPr="001347F6">
        <w:rPr>
          <w:sz w:val="24"/>
          <w:szCs w:val="24"/>
        </w:rPr>
        <w:fldChar w:fldCharType="end"/>
      </w:r>
      <w:r w:rsidRPr="001347F6">
        <w:rPr>
          <w:sz w:val="24"/>
          <w:szCs w:val="24"/>
        </w:rPr>
        <w:t xml:space="preserve"> [146]-[154]; </w:t>
      </w:r>
      <w:r w:rsidRPr="001347F6">
        <w:rPr>
          <w:i/>
          <w:sz w:val="24"/>
          <w:szCs w:val="24"/>
        </w:rPr>
        <w:t>Barcelona Traction</w:t>
      </w:r>
      <w:r w:rsidR="005D54B9" w:rsidRPr="001347F6">
        <w:rPr>
          <w:i/>
          <w:sz w:val="24"/>
          <w:szCs w:val="24"/>
        </w:rPr>
        <w:fldChar w:fldCharType="begin"/>
      </w:r>
      <w:r w:rsidR="005D54B9" w:rsidRPr="001347F6">
        <w:rPr>
          <w:i/>
          <w:sz w:val="24"/>
          <w:szCs w:val="24"/>
        </w:rPr>
        <w:instrText xml:space="preserve"> TA \s "Barcelona Traction" </w:instrText>
      </w:r>
      <w:r w:rsidR="005D54B9" w:rsidRPr="001347F6">
        <w:rPr>
          <w:i/>
          <w:sz w:val="24"/>
          <w:szCs w:val="24"/>
        </w:rPr>
        <w:fldChar w:fldCharType="end"/>
      </w:r>
      <w:r w:rsidRPr="001347F6">
        <w:rPr>
          <w:sz w:val="24"/>
          <w:szCs w:val="24"/>
        </w:rPr>
        <w:t>, [70]</w:t>
      </w:r>
    </w:p>
    <w:p w14:paraId="288C7B32" w14:textId="77777777" w:rsidR="008C2177" w:rsidRPr="001347F6" w:rsidRDefault="008C2177" w:rsidP="001347F6">
      <w:pPr>
        <w:widowControl/>
        <w:jc w:val="both"/>
        <w:rPr>
          <w:sz w:val="24"/>
          <w:szCs w:val="24"/>
        </w:rPr>
      </w:pPr>
    </w:p>
  </w:footnote>
  <w:footnote w:id="137">
    <w:p w14:paraId="448BF1DA" w14:textId="11FC0EE4"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w:t>
      </w:r>
      <w:r w:rsidRPr="001347F6">
        <w:rPr>
          <w:i/>
          <w:sz w:val="24"/>
          <w:szCs w:val="24"/>
        </w:rPr>
        <w:t>Alberto Carrizosa v. Colombia</w:t>
      </w:r>
      <w:r w:rsidRPr="001347F6">
        <w:rPr>
          <w:sz w:val="24"/>
          <w:szCs w:val="24"/>
        </w:rPr>
        <w:t>, PCA Case No. 2018-56 (2021) [</w:t>
      </w:r>
      <w:r w:rsidRPr="001347F6">
        <w:rPr>
          <w:i/>
          <w:sz w:val="24"/>
          <w:szCs w:val="24"/>
        </w:rPr>
        <w:t>‘Carrizosa v. Colombia’</w:t>
      </w:r>
      <w:r w:rsidRPr="001347F6">
        <w:rPr>
          <w:sz w:val="24"/>
          <w:szCs w:val="24"/>
        </w:rPr>
        <w:t>]</w:t>
      </w:r>
      <w:r w:rsidR="0090582E" w:rsidRPr="001347F6">
        <w:rPr>
          <w:sz w:val="24"/>
          <w:szCs w:val="24"/>
        </w:rPr>
        <w:fldChar w:fldCharType="begin"/>
      </w:r>
      <w:r w:rsidR="0090582E" w:rsidRPr="001347F6">
        <w:rPr>
          <w:sz w:val="24"/>
          <w:szCs w:val="24"/>
        </w:rPr>
        <w:instrText xml:space="preserve"> TA \l "</w:instrText>
      </w:r>
      <w:r w:rsidR="0090582E" w:rsidRPr="001347F6">
        <w:rPr>
          <w:i/>
          <w:sz w:val="24"/>
          <w:szCs w:val="24"/>
        </w:rPr>
        <w:instrText>Alberto Carrizosa v. Colombia</w:instrText>
      </w:r>
      <w:r w:rsidR="0090582E" w:rsidRPr="001347F6">
        <w:rPr>
          <w:sz w:val="24"/>
          <w:szCs w:val="24"/>
        </w:rPr>
        <w:instrText>, PCA Case No. 2018-56 (2021) [</w:instrText>
      </w:r>
      <w:r w:rsidR="0090582E" w:rsidRPr="001347F6">
        <w:rPr>
          <w:i/>
          <w:sz w:val="24"/>
          <w:szCs w:val="24"/>
        </w:rPr>
        <w:instrText>‘Carrizosa v. Colombia’</w:instrText>
      </w:r>
      <w:r w:rsidR="0090582E" w:rsidRPr="001347F6">
        <w:rPr>
          <w:sz w:val="24"/>
          <w:szCs w:val="24"/>
        </w:rPr>
        <w:instrText xml:space="preserve">]" \s "Carrizosa v. Colombia" \c 4 </w:instrText>
      </w:r>
      <w:r w:rsidR="0090582E" w:rsidRPr="001347F6">
        <w:rPr>
          <w:sz w:val="24"/>
          <w:szCs w:val="24"/>
        </w:rPr>
        <w:fldChar w:fldCharType="end"/>
      </w:r>
      <w:r w:rsidRPr="001347F6">
        <w:rPr>
          <w:sz w:val="24"/>
          <w:szCs w:val="24"/>
        </w:rPr>
        <w:t xml:space="preserve"> [184]; </w:t>
      </w:r>
      <w:r w:rsidRPr="001347F6">
        <w:rPr>
          <w:i/>
          <w:sz w:val="24"/>
          <w:szCs w:val="24"/>
        </w:rPr>
        <w:t>Mergé Claim</w:t>
      </w:r>
      <w:r w:rsidRPr="001347F6">
        <w:rPr>
          <w:sz w:val="24"/>
          <w:szCs w:val="24"/>
        </w:rPr>
        <w:t xml:space="preserve">, </w:t>
      </w:r>
      <w:r w:rsidRPr="001347F6">
        <w:rPr>
          <w:sz w:val="24"/>
          <w:szCs w:val="24"/>
          <w:highlight w:val="white"/>
        </w:rPr>
        <w:t>(Italy v United States)</w:t>
      </w:r>
      <w:r w:rsidRPr="001347F6">
        <w:rPr>
          <w:sz w:val="24"/>
          <w:szCs w:val="24"/>
        </w:rPr>
        <w:t xml:space="preserve"> (1955) </w:t>
      </w:r>
      <w:r w:rsidRPr="001347F6">
        <w:rPr>
          <w:sz w:val="24"/>
          <w:szCs w:val="24"/>
          <w:highlight w:val="white"/>
        </w:rPr>
        <w:t>[</w:t>
      </w:r>
      <w:r w:rsidRPr="001347F6">
        <w:rPr>
          <w:i/>
          <w:sz w:val="24"/>
          <w:szCs w:val="24"/>
          <w:highlight w:val="white"/>
        </w:rPr>
        <w:t>‘Mergé Claim’</w:t>
      </w:r>
      <w:r w:rsidRPr="001347F6">
        <w:rPr>
          <w:sz w:val="24"/>
          <w:szCs w:val="24"/>
          <w:highlight w:val="white"/>
        </w:rPr>
        <w:t>].</w:t>
      </w:r>
      <w:r w:rsidRPr="001347F6">
        <w:rPr>
          <w:sz w:val="24"/>
          <w:szCs w:val="24"/>
        </w:rPr>
        <w:t>22 ILR 242</w:t>
      </w:r>
      <w:r w:rsidR="0090582E" w:rsidRPr="001347F6">
        <w:rPr>
          <w:sz w:val="24"/>
          <w:szCs w:val="24"/>
          <w:lang w:val="es-CO"/>
        </w:rPr>
        <w:fldChar w:fldCharType="begin"/>
      </w:r>
      <w:r w:rsidR="0090582E" w:rsidRPr="001347F6">
        <w:rPr>
          <w:sz w:val="24"/>
          <w:szCs w:val="24"/>
        </w:rPr>
        <w:instrText xml:space="preserve"> TA \l "</w:instrText>
      </w:r>
      <w:r w:rsidR="0090582E" w:rsidRPr="001347F6">
        <w:rPr>
          <w:i/>
          <w:sz w:val="24"/>
          <w:szCs w:val="24"/>
        </w:rPr>
        <w:instrText>Mergé Claim</w:instrText>
      </w:r>
      <w:r w:rsidR="0090582E" w:rsidRPr="001347F6">
        <w:rPr>
          <w:sz w:val="24"/>
          <w:szCs w:val="24"/>
        </w:rPr>
        <w:instrText xml:space="preserve">, </w:instrText>
      </w:r>
      <w:r w:rsidR="0090582E" w:rsidRPr="001347F6">
        <w:rPr>
          <w:sz w:val="24"/>
          <w:szCs w:val="24"/>
          <w:highlight w:val="white"/>
        </w:rPr>
        <w:instrText>(Italy v United States)</w:instrText>
      </w:r>
      <w:r w:rsidR="0090582E" w:rsidRPr="001347F6">
        <w:rPr>
          <w:sz w:val="24"/>
          <w:szCs w:val="24"/>
        </w:rPr>
        <w:instrText xml:space="preserve"> (1955) </w:instrText>
      </w:r>
      <w:r w:rsidR="0090582E" w:rsidRPr="001347F6">
        <w:rPr>
          <w:sz w:val="24"/>
          <w:szCs w:val="24"/>
          <w:highlight w:val="white"/>
        </w:rPr>
        <w:instrText>[</w:instrText>
      </w:r>
      <w:r w:rsidR="0090582E" w:rsidRPr="001347F6">
        <w:rPr>
          <w:i/>
          <w:sz w:val="24"/>
          <w:szCs w:val="24"/>
          <w:highlight w:val="white"/>
        </w:rPr>
        <w:instrText>‘Mergé Claim’</w:instrText>
      </w:r>
      <w:r w:rsidR="0090582E" w:rsidRPr="001347F6">
        <w:rPr>
          <w:sz w:val="24"/>
          <w:szCs w:val="24"/>
          <w:highlight w:val="white"/>
        </w:rPr>
        <w:instrText>].</w:instrText>
      </w:r>
      <w:r w:rsidR="0090582E" w:rsidRPr="001347F6">
        <w:rPr>
          <w:sz w:val="24"/>
          <w:szCs w:val="24"/>
        </w:rPr>
        <w:instrText xml:space="preserve">22 ILR 242" \s "Mergé Claim" \c 4 </w:instrText>
      </w:r>
      <w:r w:rsidR="0090582E" w:rsidRPr="001347F6">
        <w:rPr>
          <w:sz w:val="24"/>
          <w:szCs w:val="24"/>
          <w:lang w:val="es-CO"/>
        </w:rPr>
        <w:fldChar w:fldCharType="end"/>
      </w:r>
      <w:r w:rsidRPr="001347F6">
        <w:rPr>
          <w:sz w:val="24"/>
          <w:szCs w:val="24"/>
        </w:rPr>
        <w:t xml:space="preserve">, pp. 246-247; </w:t>
      </w:r>
      <w:r w:rsidRPr="001347F6">
        <w:rPr>
          <w:i/>
          <w:sz w:val="24"/>
          <w:szCs w:val="24"/>
          <w:highlight w:val="white"/>
        </w:rPr>
        <w:t>Saghi v. Iran</w:t>
      </w:r>
      <w:r w:rsidRPr="001347F6">
        <w:rPr>
          <w:sz w:val="24"/>
          <w:szCs w:val="24"/>
          <w:highlight w:val="white"/>
        </w:rPr>
        <w:t xml:space="preserve"> (1993) 298 IUSCT 544</w:t>
      </w:r>
      <w:r w:rsidR="0090582E" w:rsidRPr="001347F6">
        <w:rPr>
          <w:sz w:val="24"/>
          <w:szCs w:val="24"/>
          <w:highlight w:val="white"/>
        </w:rPr>
        <w:fldChar w:fldCharType="begin"/>
      </w:r>
      <w:r w:rsidR="0090582E" w:rsidRPr="001347F6">
        <w:rPr>
          <w:sz w:val="24"/>
          <w:szCs w:val="24"/>
        </w:rPr>
        <w:instrText xml:space="preserve"> TA \l "</w:instrText>
      </w:r>
      <w:r w:rsidR="0090582E" w:rsidRPr="001347F6">
        <w:rPr>
          <w:i/>
          <w:sz w:val="24"/>
          <w:szCs w:val="24"/>
          <w:highlight w:val="white"/>
        </w:rPr>
        <w:instrText>Saghi v. Iran</w:instrText>
      </w:r>
      <w:r w:rsidR="0090582E" w:rsidRPr="001347F6">
        <w:rPr>
          <w:sz w:val="24"/>
          <w:szCs w:val="24"/>
          <w:highlight w:val="white"/>
        </w:rPr>
        <w:instrText xml:space="preserve"> (1993) 298 IUSCT 544</w:instrText>
      </w:r>
      <w:r w:rsidR="0090582E" w:rsidRPr="001347F6">
        <w:rPr>
          <w:sz w:val="24"/>
          <w:szCs w:val="24"/>
        </w:rPr>
        <w:instrText xml:space="preserve">" \s "Saghi v. Iran" \c 4 </w:instrText>
      </w:r>
      <w:r w:rsidR="0090582E" w:rsidRPr="001347F6">
        <w:rPr>
          <w:sz w:val="24"/>
          <w:szCs w:val="24"/>
          <w:highlight w:val="white"/>
        </w:rPr>
        <w:fldChar w:fldCharType="end"/>
      </w:r>
      <w:r w:rsidRPr="001347F6">
        <w:rPr>
          <w:sz w:val="24"/>
          <w:szCs w:val="24"/>
          <w:highlight w:val="white"/>
        </w:rPr>
        <w:t xml:space="preserve"> [59].</w:t>
      </w:r>
    </w:p>
  </w:footnote>
  <w:footnote w:id="138">
    <w:p w14:paraId="213F9C6F" w14:textId="77777777" w:rsidR="00470AD1" w:rsidRPr="001347F6" w:rsidRDefault="00470AD1" w:rsidP="001347F6">
      <w:pPr>
        <w:widowControl/>
        <w:jc w:val="both"/>
        <w:rPr>
          <w:sz w:val="24"/>
          <w:szCs w:val="24"/>
        </w:rPr>
      </w:pPr>
      <w:r w:rsidRPr="001347F6">
        <w:rPr>
          <w:sz w:val="24"/>
          <w:szCs w:val="24"/>
          <w:vertAlign w:val="superscript"/>
        </w:rPr>
        <w:footnoteRef/>
      </w:r>
      <w:r w:rsidRPr="001347F6">
        <w:rPr>
          <w:sz w:val="24"/>
          <w:szCs w:val="24"/>
        </w:rPr>
        <w:t xml:space="preserve"> </w:t>
      </w:r>
      <w:r w:rsidRPr="001347F6">
        <w:rPr>
          <w:i/>
          <w:sz w:val="24"/>
          <w:szCs w:val="24"/>
        </w:rPr>
        <w:t>Nottebohm</w:t>
      </w:r>
      <w:r w:rsidRPr="001347F6">
        <w:rPr>
          <w:i/>
          <w:sz w:val="24"/>
          <w:szCs w:val="24"/>
        </w:rPr>
        <w:fldChar w:fldCharType="begin"/>
      </w:r>
      <w:r w:rsidRPr="001347F6">
        <w:rPr>
          <w:i/>
          <w:sz w:val="24"/>
          <w:szCs w:val="24"/>
        </w:rPr>
        <w:instrText xml:space="preserve"> TA \s "Nottebohm" </w:instrText>
      </w:r>
      <w:r w:rsidRPr="001347F6">
        <w:rPr>
          <w:i/>
          <w:sz w:val="24"/>
          <w:szCs w:val="24"/>
        </w:rPr>
        <w:fldChar w:fldCharType="end"/>
      </w:r>
      <w:r w:rsidRPr="001347F6">
        <w:rPr>
          <w:i/>
          <w:sz w:val="24"/>
          <w:szCs w:val="24"/>
        </w:rPr>
        <w:t xml:space="preserve"> </w:t>
      </w:r>
      <w:r w:rsidRPr="001347F6">
        <w:rPr>
          <w:sz w:val="24"/>
          <w:szCs w:val="24"/>
        </w:rPr>
        <w:t xml:space="preserve">pp. 26. </w:t>
      </w:r>
    </w:p>
    <w:p w14:paraId="2061045A" w14:textId="77777777" w:rsidR="00470AD1" w:rsidRPr="001347F6" w:rsidRDefault="00470AD1" w:rsidP="001347F6">
      <w:pPr>
        <w:widowControl/>
        <w:jc w:val="both"/>
        <w:rPr>
          <w:sz w:val="24"/>
          <w:szCs w:val="24"/>
        </w:rPr>
      </w:pPr>
    </w:p>
  </w:footnote>
  <w:footnote w:id="139">
    <w:p w14:paraId="47CA0D3D" w14:textId="0B437D30"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John Dugard Report</w:t>
      </w:r>
      <w:r w:rsidR="0090582E" w:rsidRPr="001347F6">
        <w:rPr>
          <w:sz w:val="24"/>
          <w:szCs w:val="24"/>
        </w:rPr>
        <w:fldChar w:fldCharType="begin"/>
      </w:r>
      <w:r w:rsidR="0090582E" w:rsidRPr="001347F6">
        <w:rPr>
          <w:sz w:val="24"/>
          <w:szCs w:val="24"/>
        </w:rPr>
        <w:instrText xml:space="preserve"> TA \s "John Dugard Report" </w:instrText>
      </w:r>
      <w:r w:rsidR="0090582E" w:rsidRPr="001347F6">
        <w:rPr>
          <w:sz w:val="24"/>
          <w:szCs w:val="24"/>
        </w:rPr>
        <w:fldChar w:fldCharType="end"/>
      </w:r>
      <w:r w:rsidRPr="001347F6">
        <w:rPr>
          <w:sz w:val="24"/>
          <w:szCs w:val="24"/>
        </w:rPr>
        <w:t xml:space="preserve">, [160]; </w:t>
      </w:r>
      <w:r w:rsidRPr="001347F6">
        <w:rPr>
          <w:i/>
          <w:sz w:val="24"/>
          <w:szCs w:val="24"/>
          <w:highlight w:val="white"/>
        </w:rPr>
        <w:t xml:space="preserve">Waguih Siag v. Egypt, </w:t>
      </w:r>
      <w:r w:rsidRPr="001347F6">
        <w:rPr>
          <w:sz w:val="24"/>
          <w:szCs w:val="24"/>
          <w:highlight w:val="white"/>
        </w:rPr>
        <w:t>ICSID Case No. ARB/05/15 (2009)</w:t>
      </w:r>
      <w:r w:rsidR="0090582E" w:rsidRPr="001347F6">
        <w:rPr>
          <w:sz w:val="24"/>
          <w:szCs w:val="24"/>
          <w:highlight w:val="white"/>
        </w:rPr>
        <w:fldChar w:fldCharType="begin"/>
      </w:r>
      <w:r w:rsidR="0090582E" w:rsidRPr="001347F6">
        <w:rPr>
          <w:sz w:val="24"/>
          <w:szCs w:val="24"/>
        </w:rPr>
        <w:instrText xml:space="preserve"> TA \l "</w:instrText>
      </w:r>
      <w:r w:rsidR="0090582E" w:rsidRPr="001347F6">
        <w:rPr>
          <w:i/>
          <w:sz w:val="24"/>
          <w:szCs w:val="24"/>
          <w:highlight w:val="white"/>
        </w:rPr>
        <w:instrText xml:space="preserve">Waguih Siag v. Egypt, </w:instrText>
      </w:r>
      <w:r w:rsidR="0090582E" w:rsidRPr="001347F6">
        <w:rPr>
          <w:sz w:val="24"/>
          <w:szCs w:val="24"/>
          <w:highlight w:val="white"/>
        </w:rPr>
        <w:instrText>ICSID Case No. ARB/05/15 (2009)</w:instrText>
      </w:r>
      <w:r w:rsidR="0090582E" w:rsidRPr="001347F6">
        <w:rPr>
          <w:sz w:val="24"/>
          <w:szCs w:val="24"/>
        </w:rPr>
        <w:instrText xml:space="preserve">" \s "Waguih Siag v. Egypt" \c 4 </w:instrText>
      </w:r>
      <w:r w:rsidR="0090582E" w:rsidRPr="001347F6">
        <w:rPr>
          <w:sz w:val="24"/>
          <w:szCs w:val="24"/>
          <w:highlight w:val="white"/>
        </w:rPr>
        <w:fldChar w:fldCharType="end"/>
      </w:r>
      <w:r w:rsidRPr="001347F6">
        <w:rPr>
          <w:sz w:val="24"/>
          <w:szCs w:val="24"/>
          <w:highlight w:val="white"/>
        </w:rPr>
        <w:t xml:space="preserve"> </w:t>
      </w:r>
      <w:r w:rsidRPr="001347F6">
        <w:rPr>
          <w:sz w:val="24"/>
          <w:szCs w:val="24"/>
        </w:rPr>
        <w:t xml:space="preserve">[468]; </w:t>
      </w:r>
      <w:r w:rsidRPr="001347F6">
        <w:rPr>
          <w:i/>
          <w:sz w:val="24"/>
          <w:szCs w:val="24"/>
        </w:rPr>
        <w:t>Flegenheimer Case</w:t>
      </w:r>
      <w:r w:rsidRPr="001347F6">
        <w:rPr>
          <w:sz w:val="24"/>
          <w:szCs w:val="24"/>
        </w:rPr>
        <w:t xml:space="preserve">, </w:t>
      </w:r>
      <w:r w:rsidRPr="001347F6">
        <w:rPr>
          <w:i/>
          <w:sz w:val="24"/>
          <w:szCs w:val="24"/>
          <w:highlight w:val="white"/>
        </w:rPr>
        <w:t>(</w:t>
      </w:r>
      <w:r w:rsidRPr="001347F6">
        <w:rPr>
          <w:sz w:val="24"/>
          <w:szCs w:val="24"/>
          <w:highlight w:val="white"/>
        </w:rPr>
        <w:t xml:space="preserve">Italy v United States) </w:t>
      </w:r>
      <w:r w:rsidRPr="001347F6">
        <w:rPr>
          <w:sz w:val="24"/>
          <w:szCs w:val="24"/>
        </w:rPr>
        <w:t>(1958) 14 UNRIAA 327</w:t>
      </w:r>
      <w:r w:rsidR="0090582E" w:rsidRPr="001347F6">
        <w:rPr>
          <w:sz w:val="24"/>
          <w:szCs w:val="24"/>
        </w:rPr>
        <w:fldChar w:fldCharType="begin"/>
      </w:r>
      <w:r w:rsidR="0090582E" w:rsidRPr="001347F6">
        <w:rPr>
          <w:sz w:val="24"/>
          <w:szCs w:val="24"/>
        </w:rPr>
        <w:instrText xml:space="preserve"> TA \l "</w:instrText>
      </w:r>
      <w:r w:rsidR="0090582E" w:rsidRPr="001347F6">
        <w:rPr>
          <w:i/>
          <w:sz w:val="24"/>
          <w:szCs w:val="24"/>
        </w:rPr>
        <w:instrText>Flegenheimer Case</w:instrText>
      </w:r>
      <w:r w:rsidR="0090582E" w:rsidRPr="001347F6">
        <w:rPr>
          <w:sz w:val="24"/>
          <w:szCs w:val="24"/>
        </w:rPr>
        <w:instrText xml:space="preserve">, </w:instrText>
      </w:r>
      <w:r w:rsidR="0090582E" w:rsidRPr="001347F6">
        <w:rPr>
          <w:i/>
          <w:sz w:val="24"/>
          <w:szCs w:val="24"/>
          <w:highlight w:val="white"/>
        </w:rPr>
        <w:instrText>(</w:instrText>
      </w:r>
      <w:r w:rsidR="0090582E" w:rsidRPr="001347F6">
        <w:rPr>
          <w:sz w:val="24"/>
          <w:szCs w:val="24"/>
          <w:highlight w:val="white"/>
        </w:rPr>
        <w:instrText xml:space="preserve">Italy v United States) </w:instrText>
      </w:r>
      <w:r w:rsidR="0090582E" w:rsidRPr="001347F6">
        <w:rPr>
          <w:sz w:val="24"/>
          <w:szCs w:val="24"/>
        </w:rPr>
        <w:instrText xml:space="preserve">(1958) 14 UNRIAA 327" \s "Flegenheimer Case" \c 4 </w:instrText>
      </w:r>
      <w:r w:rsidR="0090582E" w:rsidRPr="001347F6">
        <w:rPr>
          <w:sz w:val="24"/>
          <w:szCs w:val="24"/>
        </w:rPr>
        <w:fldChar w:fldCharType="end"/>
      </w:r>
      <w:r w:rsidRPr="001347F6">
        <w:rPr>
          <w:sz w:val="24"/>
          <w:szCs w:val="24"/>
        </w:rPr>
        <w:t>, pp. 376.</w:t>
      </w:r>
    </w:p>
    <w:p w14:paraId="2D6ABD38" w14:textId="77777777" w:rsidR="008C2177" w:rsidRPr="001347F6" w:rsidRDefault="008C2177" w:rsidP="001347F6">
      <w:pPr>
        <w:widowControl/>
        <w:jc w:val="both"/>
        <w:rPr>
          <w:sz w:val="24"/>
          <w:szCs w:val="24"/>
        </w:rPr>
      </w:pPr>
    </w:p>
  </w:footnote>
  <w:footnote w:id="140">
    <w:p w14:paraId="7EF8CF6D" w14:textId="77777777"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Compromis, [14].</w:t>
      </w:r>
    </w:p>
    <w:p w14:paraId="2A3A8953" w14:textId="77777777" w:rsidR="008C2177" w:rsidRPr="001347F6" w:rsidRDefault="008C2177" w:rsidP="001347F6">
      <w:pPr>
        <w:widowControl/>
        <w:jc w:val="both"/>
        <w:rPr>
          <w:sz w:val="24"/>
          <w:szCs w:val="24"/>
        </w:rPr>
      </w:pPr>
    </w:p>
  </w:footnote>
  <w:footnote w:id="141">
    <w:p w14:paraId="22B31164" w14:textId="77777777"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Compromis, [19].</w:t>
      </w:r>
    </w:p>
    <w:p w14:paraId="4AAEF3CE" w14:textId="77777777" w:rsidR="008C2177" w:rsidRPr="001347F6" w:rsidRDefault="008C2177" w:rsidP="001347F6">
      <w:pPr>
        <w:widowControl/>
        <w:jc w:val="both"/>
        <w:rPr>
          <w:sz w:val="24"/>
          <w:szCs w:val="24"/>
        </w:rPr>
      </w:pPr>
    </w:p>
  </w:footnote>
  <w:footnote w:id="142">
    <w:p w14:paraId="34CC14CE" w14:textId="77777777"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Compromis, [16]-[17].</w:t>
      </w:r>
    </w:p>
    <w:p w14:paraId="1446FD0D" w14:textId="77777777" w:rsidR="008C2177" w:rsidRPr="001347F6" w:rsidRDefault="008C2177" w:rsidP="001347F6">
      <w:pPr>
        <w:widowControl/>
        <w:jc w:val="both"/>
        <w:rPr>
          <w:sz w:val="24"/>
          <w:szCs w:val="24"/>
        </w:rPr>
      </w:pPr>
    </w:p>
  </w:footnote>
  <w:footnote w:id="143">
    <w:p w14:paraId="0266A9E0" w14:textId="77777777"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Clarifications, [5].</w:t>
      </w:r>
    </w:p>
    <w:p w14:paraId="378FBB29" w14:textId="77777777" w:rsidR="008C2177" w:rsidRPr="001347F6" w:rsidRDefault="008C2177" w:rsidP="001347F6">
      <w:pPr>
        <w:widowControl/>
        <w:jc w:val="both"/>
        <w:rPr>
          <w:sz w:val="24"/>
          <w:szCs w:val="24"/>
        </w:rPr>
      </w:pPr>
    </w:p>
  </w:footnote>
  <w:footnote w:id="144">
    <w:p w14:paraId="4C251D53" w14:textId="50DA1DE5" w:rsidR="001347F6" w:rsidRDefault="00000000" w:rsidP="001347F6">
      <w:pPr>
        <w:widowControl/>
        <w:jc w:val="both"/>
        <w:rPr>
          <w:sz w:val="24"/>
          <w:szCs w:val="24"/>
        </w:rPr>
      </w:pPr>
      <w:r w:rsidRPr="001347F6">
        <w:rPr>
          <w:sz w:val="24"/>
          <w:szCs w:val="24"/>
          <w:vertAlign w:val="superscript"/>
        </w:rPr>
        <w:footnoteRef/>
      </w:r>
      <w:r w:rsidRPr="001347F6">
        <w:rPr>
          <w:sz w:val="24"/>
          <w:szCs w:val="24"/>
          <w:highlight w:val="white"/>
        </w:rPr>
        <w:t xml:space="preserve"> </w:t>
      </w:r>
      <w:r w:rsidRPr="001347F6">
        <w:rPr>
          <w:i/>
          <w:sz w:val="24"/>
          <w:szCs w:val="24"/>
          <w:highlight w:val="white"/>
        </w:rPr>
        <w:t xml:space="preserve">Manuel García et al. v. Venezuela, </w:t>
      </w:r>
      <w:r w:rsidRPr="001347F6">
        <w:rPr>
          <w:sz w:val="24"/>
          <w:szCs w:val="24"/>
          <w:highlight w:val="white"/>
        </w:rPr>
        <w:t>PCA Case No. 2016-08 (Award on Jurisdiction) (2019)</w:t>
      </w:r>
      <w:r w:rsidR="0082465B" w:rsidRPr="001347F6">
        <w:rPr>
          <w:sz w:val="24"/>
          <w:szCs w:val="24"/>
          <w:highlight w:val="white"/>
        </w:rPr>
        <w:fldChar w:fldCharType="begin"/>
      </w:r>
      <w:r w:rsidR="0082465B" w:rsidRPr="001347F6">
        <w:rPr>
          <w:sz w:val="24"/>
          <w:szCs w:val="24"/>
        </w:rPr>
        <w:instrText xml:space="preserve"> TA \l "</w:instrText>
      </w:r>
      <w:r w:rsidR="0082465B" w:rsidRPr="001347F6">
        <w:rPr>
          <w:i/>
          <w:sz w:val="24"/>
          <w:szCs w:val="24"/>
          <w:highlight w:val="white"/>
        </w:rPr>
        <w:instrText xml:space="preserve">Manuel García et al. v. Venezuela, </w:instrText>
      </w:r>
      <w:r w:rsidR="0082465B" w:rsidRPr="001347F6">
        <w:rPr>
          <w:sz w:val="24"/>
          <w:szCs w:val="24"/>
          <w:highlight w:val="white"/>
        </w:rPr>
        <w:instrText>PCA Case No. 2016-08 (Award on Jurisdiction) (2019)</w:instrText>
      </w:r>
      <w:r w:rsidR="0082465B" w:rsidRPr="001347F6">
        <w:rPr>
          <w:sz w:val="24"/>
          <w:szCs w:val="24"/>
        </w:rPr>
        <w:instrText xml:space="preserve">" \s "Manuel García et al. v. Venezuela" \c 4 </w:instrText>
      </w:r>
      <w:r w:rsidR="0082465B" w:rsidRPr="001347F6">
        <w:rPr>
          <w:sz w:val="24"/>
          <w:szCs w:val="24"/>
          <w:highlight w:val="white"/>
        </w:rPr>
        <w:fldChar w:fldCharType="end"/>
      </w:r>
      <w:r w:rsidRPr="001347F6">
        <w:rPr>
          <w:sz w:val="24"/>
          <w:szCs w:val="24"/>
          <w:highlight w:val="white"/>
        </w:rPr>
        <w:t xml:space="preserve"> [</w:t>
      </w:r>
      <w:r w:rsidRPr="001347F6">
        <w:rPr>
          <w:sz w:val="24"/>
          <w:szCs w:val="24"/>
        </w:rPr>
        <w:t xml:space="preserve">696]; </w:t>
      </w:r>
      <w:r w:rsidRPr="001347F6">
        <w:rPr>
          <w:i/>
          <w:sz w:val="24"/>
          <w:szCs w:val="24"/>
          <w:highlight w:val="white"/>
        </w:rPr>
        <w:t>Mergé Claim</w:t>
      </w:r>
      <w:r w:rsidR="0090582E" w:rsidRPr="001347F6">
        <w:rPr>
          <w:i/>
          <w:sz w:val="24"/>
          <w:szCs w:val="24"/>
          <w:highlight w:val="white"/>
        </w:rPr>
        <w:fldChar w:fldCharType="begin"/>
      </w:r>
      <w:r w:rsidR="0090582E" w:rsidRPr="001347F6">
        <w:rPr>
          <w:i/>
          <w:sz w:val="24"/>
          <w:szCs w:val="24"/>
          <w:highlight w:val="white"/>
        </w:rPr>
        <w:instrText xml:space="preserve"> TA \s "Mergé Claim" </w:instrText>
      </w:r>
      <w:r w:rsidR="0090582E" w:rsidRPr="001347F6">
        <w:rPr>
          <w:i/>
          <w:sz w:val="24"/>
          <w:szCs w:val="24"/>
          <w:highlight w:val="white"/>
        </w:rPr>
        <w:fldChar w:fldCharType="end"/>
      </w:r>
      <w:r w:rsidRPr="001347F6">
        <w:rPr>
          <w:i/>
          <w:sz w:val="24"/>
          <w:szCs w:val="24"/>
          <w:highlight w:val="white"/>
        </w:rPr>
        <w:t xml:space="preserve">, </w:t>
      </w:r>
      <w:r w:rsidRPr="001347F6">
        <w:rPr>
          <w:sz w:val="24"/>
          <w:szCs w:val="24"/>
          <w:highlight w:val="white"/>
        </w:rPr>
        <w:t>pp.</w:t>
      </w:r>
      <w:r w:rsidRPr="001347F6">
        <w:rPr>
          <w:i/>
          <w:sz w:val="24"/>
          <w:szCs w:val="24"/>
          <w:highlight w:val="white"/>
        </w:rPr>
        <w:t xml:space="preserve"> </w:t>
      </w:r>
      <w:r w:rsidRPr="001347F6">
        <w:rPr>
          <w:sz w:val="24"/>
          <w:szCs w:val="24"/>
        </w:rPr>
        <w:t>246-247.</w:t>
      </w:r>
    </w:p>
    <w:p w14:paraId="085A79B7" w14:textId="77777777" w:rsidR="001347F6" w:rsidRPr="001347F6" w:rsidRDefault="001347F6" w:rsidP="001347F6">
      <w:pPr>
        <w:widowControl/>
        <w:jc w:val="both"/>
        <w:rPr>
          <w:sz w:val="24"/>
          <w:szCs w:val="24"/>
        </w:rPr>
      </w:pPr>
    </w:p>
  </w:footnote>
  <w:footnote w:id="145">
    <w:p w14:paraId="5CAAB3FE" w14:textId="57E870E3"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w:t>
      </w:r>
      <w:r w:rsidRPr="001347F6">
        <w:rPr>
          <w:i/>
          <w:sz w:val="24"/>
          <w:szCs w:val="24"/>
        </w:rPr>
        <w:t>Iran v. USA 1984</w:t>
      </w:r>
      <w:r w:rsidR="0090582E" w:rsidRPr="001347F6">
        <w:rPr>
          <w:i/>
          <w:sz w:val="24"/>
          <w:szCs w:val="24"/>
        </w:rPr>
        <w:fldChar w:fldCharType="begin"/>
      </w:r>
      <w:r w:rsidR="0090582E" w:rsidRPr="001347F6">
        <w:rPr>
          <w:i/>
          <w:sz w:val="24"/>
          <w:szCs w:val="24"/>
        </w:rPr>
        <w:instrText xml:space="preserve"> TA \s "Iran v. USA 1984" </w:instrText>
      </w:r>
      <w:r w:rsidR="0090582E" w:rsidRPr="001347F6">
        <w:rPr>
          <w:i/>
          <w:sz w:val="24"/>
          <w:szCs w:val="24"/>
        </w:rPr>
        <w:fldChar w:fldCharType="end"/>
      </w:r>
      <w:r w:rsidRPr="001347F6">
        <w:rPr>
          <w:sz w:val="24"/>
          <w:szCs w:val="24"/>
        </w:rPr>
        <w:t xml:space="preserve">, [37]-[41]; </w:t>
      </w:r>
      <w:r w:rsidRPr="001347F6">
        <w:rPr>
          <w:i/>
          <w:sz w:val="24"/>
          <w:szCs w:val="24"/>
        </w:rPr>
        <w:t>Michael Ballantine and Lisa Ballantine v. the Dominican Republic</w:t>
      </w:r>
      <w:r w:rsidRPr="001347F6">
        <w:rPr>
          <w:sz w:val="24"/>
          <w:szCs w:val="24"/>
        </w:rPr>
        <w:t>, PCA Case No. 2016-17 (Final Award) (2019)</w:t>
      </w:r>
      <w:r w:rsidR="0082465B" w:rsidRPr="001347F6">
        <w:rPr>
          <w:sz w:val="24"/>
          <w:szCs w:val="24"/>
        </w:rPr>
        <w:fldChar w:fldCharType="begin"/>
      </w:r>
      <w:r w:rsidR="0082465B" w:rsidRPr="001347F6">
        <w:rPr>
          <w:sz w:val="24"/>
          <w:szCs w:val="24"/>
        </w:rPr>
        <w:instrText xml:space="preserve"> TA \l "</w:instrText>
      </w:r>
      <w:r w:rsidR="0082465B" w:rsidRPr="001347F6">
        <w:rPr>
          <w:i/>
          <w:sz w:val="24"/>
          <w:szCs w:val="24"/>
        </w:rPr>
        <w:instrText>Michael Ballantine and Lisa Ballantine v. the Dominican Republic</w:instrText>
      </w:r>
      <w:r w:rsidR="0082465B" w:rsidRPr="001347F6">
        <w:rPr>
          <w:sz w:val="24"/>
          <w:szCs w:val="24"/>
        </w:rPr>
        <w:instrText xml:space="preserve">, PCA Case No. 2016-17 (Final Award) (2019)" \s "Michael Ballantine and Lisa Ballantine v. the Dominican Republic" \c 4 </w:instrText>
      </w:r>
      <w:r w:rsidR="0082465B" w:rsidRPr="001347F6">
        <w:rPr>
          <w:sz w:val="24"/>
          <w:szCs w:val="24"/>
        </w:rPr>
        <w:fldChar w:fldCharType="end"/>
      </w:r>
      <w:r w:rsidRPr="001347F6">
        <w:rPr>
          <w:sz w:val="24"/>
          <w:szCs w:val="24"/>
        </w:rPr>
        <w:t xml:space="preserve"> [536]-[538].</w:t>
      </w:r>
    </w:p>
    <w:p w14:paraId="1BC8025A" w14:textId="77777777" w:rsidR="008C2177" w:rsidRPr="001347F6" w:rsidRDefault="008C2177" w:rsidP="001347F6">
      <w:pPr>
        <w:widowControl/>
        <w:jc w:val="both"/>
        <w:rPr>
          <w:color w:val="737373"/>
          <w:sz w:val="24"/>
          <w:szCs w:val="24"/>
          <w:highlight w:val="white"/>
        </w:rPr>
      </w:pPr>
    </w:p>
  </w:footnote>
  <w:footnote w:id="146">
    <w:p w14:paraId="630EF077" w14:textId="1BA0CC40"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w:t>
      </w:r>
      <w:r w:rsidRPr="001347F6">
        <w:rPr>
          <w:i/>
          <w:sz w:val="24"/>
          <w:szCs w:val="24"/>
          <w:highlight w:val="white"/>
        </w:rPr>
        <w:t>Reza Said v. Iran</w:t>
      </w:r>
      <w:r w:rsidRPr="001347F6">
        <w:rPr>
          <w:sz w:val="24"/>
          <w:szCs w:val="24"/>
          <w:highlight w:val="white"/>
        </w:rPr>
        <w:t>, (1988) 193 IUSCT 68</w:t>
      </w:r>
      <w:r w:rsidR="0082465B" w:rsidRPr="001347F6">
        <w:rPr>
          <w:sz w:val="24"/>
          <w:szCs w:val="24"/>
          <w:highlight w:val="white"/>
        </w:rPr>
        <w:fldChar w:fldCharType="begin"/>
      </w:r>
      <w:r w:rsidR="0082465B" w:rsidRPr="001347F6">
        <w:rPr>
          <w:sz w:val="24"/>
          <w:szCs w:val="24"/>
        </w:rPr>
        <w:instrText xml:space="preserve"> TA \l "</w:instrText>
      </w:r>
      <w:r w:rsidR="0082465B" w:rsidRPr="001347F6">
        <w:rPr>
          <w:i/>
          <w:sz w:val="24"/>
          <w:szCs w:val="24"/>
          <w:highlight w:val="white"/>
        </w:rPr>
        <w:instrText>Reza Said v. Iran</w:instrText>
      </w:r>
      <w:r w:rsidR="0082465B" w:rsidRPr="001347F6">
        <w:rPr>
          <w:sz w:val="24"/>
          <w:szCs w:val="24"/>
          <w:highlight w:val="white"/>
        </w:rPr>
        <w:instrText>, (1988) 193 IUSCT 68</w:instrText>
      </w:r>
      <w:r w:rsidR="0082465B" w:rsidRPr="001347F6">
        <w:rPr>
          <w:sz w:val="24"/>
          <w:szCs w:val="24"/>
        </w:rPr>
        <w:instrText xml:space="preserve">" \s "Reza Said v. Iran" \c 4 </w:instrText>
      </w:r>
      <w:r w:rsidR="0082465B" w:rsidRPr="001347F6">
        <w:rPr>
          <w:sz w:val="24"/>
          <w:szCs w:val="24"/>
          <w:highlight w:val="white"/>
        </w:rPr>
        <w:fldChar w:fldCharType="end"/>
      </w:r>
      <w:r w:rsidR="009D2BF1" w:rsidRPr="001347F6">
        <w:rPr>
          <w:sz w:val="24"/>
          <w:szCs w:val="24"/>
          <w:highlight w:val="white"/>
        </w:rPr>
        <w:t xml:space="preserve"> [17]</w:t>
      </w:r>
      <w:r w:rsidRPr="001347F6">
        <w:rPr>
          <w:sz w:val="24"/>
          <w:szCs w:val="24"/>
          <w:highlight w:val="white"/>
        </w:rPr>
        <w:t xml:space="preserve">, </w:t>
      </w:r>
      <w:r w:rsidRPr="001347F6">
        <w:rPr>
          <w:i/>
          <w:sz w:val="24"/>
          <w:szCs w:val="24"/>
        </w:rPr>
        <w:t>Carrizosa v. Colombia</w:t>
      </w:r>
      <w:r w:rsidR="0090582E" w:rsidRPr="001347F6">
        <w:rPr>
          <w:i/>
          <w:sz w:val="24"/>
          <w:szCs w:val="24"/>
        </w:rPr>
        <w:fldChar w:fldCharType="begin"/>
      </w:r>
      <w:r w:rsidR="0090582E" w:rsidRPr="001347F6">
        <w:rPr>
          <w:i/>
          <w:sz w:val="24"/>
          <w:szCs w:val="24"/>
        </w:rPr>
        <w:instrText xml:space="preserve"> TA \s "Carrizosa v. Colombia" </w:instrText>
      </w:r>
      <w:r w:rsidR="0090582E" w:rsidRPr="001347F6">
        <w:rPr>
          <w:i/>
          <w:sz w:val="24"/>
          <w:szCs w:val="24"/>
        </w:rPr>
        <w:fldChar w:fldCharType="end"/>
      </w:r>
      <w:r w:rsidRPr="001347F6">
        <w:rPr>
          <w:sz w:val="24"/>
          <w:szCs w:val="24"/>
        </w:rPr>
        <w:t>, [183]; Nottebohm</w:t>
      </w:r>
      <w:r w:rsidR="006C5F55" w:rsidRPr="001347F6">
        <w:rPr>
          <w:sz w:val="24"/>
          <w:szCs w:val="24"/>
        </w:rPr>
        <w:fldChar w:fldCharType="begin"/>
      </w:r>
      <w:r w:rsidR="006C5F55" w:rsidRPr="001347F6">
        <w:rPr>
          <w:sz w:val="24"/>
          <w:szCs w:val="24"/>
        </w:rPr>
        <w:instrText xml:space="preserve"> TA \s "Nottebohm" </w:instrText>
      </w:r>
      <w:r w:rsidR="006C5F55" w:rsidRPr="001347F6">
        <w:rPr>
          <w:sz w:val="24"/>
          <w:szCs w:val="24"/>
        </w:rPr>
        <w:fldChar w:fldCharType="end"/>
      </w:r>
      <w:r w:rsidRPr="001347F6">
        <w:rPr>
          <w:sz w:val="24"/>
          <w:szCs w:val="24"/>
        </w:rPr>
        <w:t>, pp. 22; John Dugard Report</w:t>
      </w:r>
      <w:r w:rsidR="0090582E" w:rsidRPr="001347F6">
        <w:rPr>
          <w:sz w:val="24"/>
          <w:szCs w:val="24"/>
        </w:rPr>
        <w:fldChar w:fldCharType="begin"/>
      </w:r>
      <w:r w:rsidR="0090582E" w:rsidRPr="001347F6">
        <w:rPr>
          <w:sz w:val="24"/>
          <w:szCs w:val="24"/>
        </w:rPr>
        <w:instrText xml:space="preserve"> TA \s "John Dugard Report" </w:instrText>
      </w:r>
      <w:r w:rsidR="0090582E" w:rsidRPr="001347F6">
        <w:rPr>
          <w:sz w:val="24"/>
          <w:szCs w:val="24"/>
        </w:rPr>
        <w:fldChar w:fldCharType="end"/>
      </w:r>
      <w:r w:rsidRPr="001347F6">
        <w:rPr>
          <w:sz w:val="24"/>
          <w:szCs w:val="24"/>
        </w:rPr>
        <w:t>, [153].</w:t>
      </w:r>
    </w:p>
    <w:p w14:paraId="4F2BE0CB" w14:textId="77777777" w:rsidR="008C2177" w:rsidRPr="001347F6" w:rsidRDefault="008C2177" w:rsidP="001347F6">
      <w:pPr>
        <w:widowControl/>
        <w:jc w:val="both"/>
        <w:rPr>
          <w:sz w:val="24"/>
          <w:szCs w:val="24"/>
        </w:rPr>
      </w:pPr>
    </w:p>
  </w:footnote>
  <w:footnote w:id="147">
    <w:p w14:paraId="615BA43C" w14:textId="77777777"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Compromis, [43]-[45].</w:t>
      </w:r>
    </w:p>
    <w:p w14:paraId="13B87F7F" w14:textId="77777777" w:rsidR="008C2177" w:rsidRPr="001347F6" w:rsidRDefault="008C2177" w:rsidP="001347F6">
      <w:pPr>
        <w:widowControl/>
        <w:jc w:val="both"/>
        <w:rPr>
          <w:sz w:val="24"/>
          <w:szCs w:val="24"/>
        </w:rPr>
      </w:pPr>
    </w:p>
  </w:footnote>
  <w:footnote w:id="148">
    <w:p w14:paraId="27FFDB9E" w14:textId="77777777"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Compromis, [14]-[16].</w:t>
      </w:r>
    </w:p>
    <w:p w14:paraId="1D9903E2" w14:textId="77777777" w:rsidR="008C2177" w:rsidRPr="001347F6" w:rsidRDefault="008C2177" w:rsidP="001347F6">
      <w:pPr>
        <w:widowControl/>
        <w:jc w:val="both"/>
        <w:rPr>
          <w:sz w:val="24"/>
          <w:szCs w:val="24"/>
        </w:rPr>
      </w:pPr>
    </w:p>
  </w:footnote>
  <w:footnote w:id="149">
    <w:p w14:paraId="1236B385" w14:textId="77777777"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Compromis, [14].</w:t>
      </w:r>
    </w:p>
    <w:p w14:paraId="5791B48E" w14:textId="77777777" w:rsidR="008C2177" w:rsidRPr="001347F6" w:rsidRDefault="008C2177" w:rsidP="001347F6">
      <w:pPr>
        <w:widowControl/>
        <w:jc w:val="both"/>
        <w:rPr>
          <w:sz w:val="24"/>
          <w:szCs w:val="24"/>
        </w:rPr>
      </w:pPr>
    </w:p>
  </w:footnote>
  <w:footnote w:id="150">
    <w:p w14:paraId="0BC8911E" w14:textId="77777777"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Compromis, [14]-[15].</w:t>
      </w:r>
    </w:p>
    <w:p w14:paraId="2873E419" w14:textId="77777777" w:rsidR="008C2177" w:rsidRPr="001347F6" w:rsidRDefault="008C2177" w:rsidP="001347F6">
      <w:pPr>
        <w:widowControl/>
        <w:jc w:val="both"/>
        <w:rPr>
          <w:sz w:val="24"/>
          <w:szCs w:val="24"/>
        </w:rPr>
      </w:pPr>
    </w:p>
  </w:footnote>
  <w:footnote w:id="151">
    <w:p w14:paraId="01024F67" w14:textId="77777777"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Compromis, [19].</w:t>
      </w:r>
    </w:p>
    <w:p w14:paraId="50ACDE5C" w14:textId="77777777" w:rsidR="008C2177" w:rsidRPr="001347F6" w:rsidRDefault="008C2177" w:rsidP="001347F6">
      <w:pPr>
        <w:widowControl/>
        <w:jc w:val="both"/>
        <w:rPr>
          <w:sz w:val="24"/>
          <w:szCs w:val="24"/>
        </w:rPr>
      </w:pPr>
    </w:p>
  </w:footnote>
  <w:footnote w:id="152">
    <w:p w14:paraId="12DB5541" w14:textId="5247D08B"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VCCR</w:t>
      </w:r>
      <w:r w:rsidR="000B5DB7" w:rsidRPr="001347F6">
        <w:rPr>
          <w:sz w:val="24"/>
          <w:szCs w:val="24"/>
        </w:rPr>
        <w:fldChar w:fldCharType="begin"/>
      </w:r>
      <w:r w:rsidR="000B5DB7" w:rsidRPr="001347F6">
        <w:rPr>
          <w:sz w:val="24"/>
          <w:szCs w:val="24"/>
        </w:rPr>
        <w:instrText xml:space="preserve"> TA \s "VCCR" </w:instrText>
      </w:r>
      <w:r w:rsidR="000B5DB7" w:rsidRPr="001347F6">
        <w:rPr>
          <w:sz w:val="24"/>
          <w:szCs w:val="24"/>
        </w:rPr>
        <w:fldChar w:fldCharType="end"/>
      </w:r>
      <w:r w:rsidRPr="001347F6">
        <w:rPr>
          <w:sz w:val="24"/>
          <w:szCs w:val="24"/>
        </w:rPr>
        <w:t>,</w:t>
      </w:r>
      <w:r w:rsidR="000E212C" w:rsidRPr="001347F6">
        <w:rPr>
          <w:sz w:val="24"/>
          <w:szCs w:val="24"/>
        </w:rPr>
        <w:t xml:space="preserve"> </w:t>
      </w:r>
      <w:r w:rsidRPr="001347F6">
        <w:rPr>
          <w:sz w:val="24"/>
          <w:szCs w:val="24"/>
        </w:rPr>
        <w:t>Art 36(1); Quigley, J., Aceves, W., Shank, A. The</w:t>
      </w:r>
      <w:r w:rsidRPr="001347F6">
        <w:rPr>
          <w:i/>
          <w:sz w:val="24"/>
          <w:szCs w:val="24"/>
        </w:rPr>
        <w:t xml:space="preserve"> law of consular Access: A documentary guid</w:t>
      </w:r>
      <w:r w:rsidRPr="001347F6">
        <w:rPr>
          <w:sz w:val="24"/>
          <w:szCs w:val="24"/>
        </w:rPr>
        <w:t>e (CUP 2010)</w:t>
      </w:r>
      <w:r w:rsidR="0082465B" w:rsidRPr="001347F6">
        <w:rPr>
          <w:sz w:val="24"/>
          <w:szCs w:val="24"/>
        </w:rPr>
        <w:fldChar w:fldCharType="begin"/>
      </w:r>
      <w:r w:rsidR="0082465B" w:rsidRPr="001347F6">
        <w:rPr>
          <w:sz w:val="24"/>
          <w:szCs w:val="24"/>
        </w:rPr>
        <w:instrText xml:space="preserve"> TA \l "Quigley, J., Aceves, W., Shank, A. The</w:instrText>
      </w:r>
      <w:r w:rsidR="0082465B" w:rsidRPr="001347F6">
        <w:rPr>
          <w:i/>
          <w:sz w:val="24"/>
          <w:szCs w:val="24"/>
        </w:rPr>
        <w:instrText xml:space="preserve"> law of consular Access: A documentary guid</w:instrText>
      </w:r>
      <w:r w:rsidR="0082465B" w:rsidRPr="001347F6">
        <w:rPr>
          <w:sz w:val="24"/>
          <w:szCs w:val="24"/>
        </w:rPr>
        <w:instrText xml:space="preserve">e (CUP 2010)" \s "Quigley, J., Aceves, W., Shank, A." \c 6 </w:instrText>
      </w:r>
      <w:r w:rsidR="0082465B" w:rsidRPr="001347F6">
        <w:rPr>
          <w:sz w:val="24"/>
          <w:szCs w:val="24"/>
        </w:rPr>
        <w:fldChar w:fldCharType="end"/>
      </w:r>
      <w:r w:rsidRPr="001347F6">
        <w:rPr>
          <w:sz w:val="24"/>
          <w:szCs w:val="24"/>
        </w:rPr>
        <w:t xml:space="preserve"> pp. 1. </w:t>
      </w:r>
    </w:p>
    <w:p w14:paraId="036257CA" w14:textId="77777777" w:rsidR="008C2177" w:rsidRPr="001347F6" w:rsidRDefault="008C2177" w:rsidP="001347F6">
      <w:pPr>
        <w:widowControl/>
        <w:jc w:val="both"/>
        <w:rPr>
          <w:sz w:val="24"/>
          <w:szCs w:val="24"/>
        </w:rPr>
      </w:pPr>
    </w:p>
  </w:footnote>
  <w:footnote w:id="153">
    <w:p w14:paraId="6ECE8432" w14:textId="073FCE33"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w:t>
      </w:r>
      <w:r w:rsidRPr="001347F6">
        <w:rPr>
          <w:i/>
          <w:sz w:val="24"/>
          <w:szCs w:val="24"/>
        </w:rPr>
        <w:t>Avena and Other Mexican Nationals (Mexico v. USA)</w:t>
      </w:r>
      <w:r w:rsidRPr="001347F6">
        <w:rPr>
          <w:sz w:val="24"/>
          <w:szCs w:val="24"/>
        </w:rPr>
        <w:t xml:space="preserve"> (Judgment) [2004] [‘</w:t>
      </w:r>
      <w:r w:rsidRPr="001347F6">
        <w:rPr>
          <w:i/>
          <w:sz w:val="24"/>
          <w:szCs w:val="24"/>
        </w:rPr>
        <w:t>Avena case’</w:t>
      </w:r>
      <w:r w:rsidRPr="001347F6">
        <w:rPr>
          <w:sz w:val="24"/>
          <w:szCs w:val="24"/>
        </w:rPr>
        <w:t xml:space="preserve">] ICJ Rep </w:t>
      </w:r>
      <w:r w:rsidR="00CA7366" w:rsidRPr="001347F6">
        <w:rPr>
          <w:sz w:val="24"/>
          <w:szCs w:val="24"/>
        </w:rPr>
        <w:t>44</w:t>
      </w:r>
      <w:r w:rsidR="0082465B" w:rsidRPr="001347F6">
        <w:rPr>
          <w:sz w:val="24"/>
          <w:szCs w:val="24"/>
        </w:rPr>
        <w:fldChar w:fldCharType="begin"/>
      </w:r>
      <w:r w:rsidR="0082465B" w:rsidRPr="001347F6">
        <w:rPr>
          <w:sz w:val="24"/>
          <w:szCs w:val="24"/>
        </w:rPr>
        <w:instrText xml:space="preserve"> TA \l "</w:instrText>
      </w:r>
      <w:r w:rsidR="0082465B" w:rsidRPr="001347F6">
        <w:rPr>
          <w:i/>
          <w:sz w:val="24"/>
          <w:szCs w:val="24"/>
        </w:rPr>
        <w:instrText>Avena and Other Mexican Nationals (Mexico v. USA)</w:instrText>
      </w:r>
      <w:r w:rsidR="0082465B" w:rsidRPr="001347F6">
        <w:rPr>
          <w:sz w:val="24"/>
          <w:szCs w:val="24"/>
        </w:rPr>
        <w:instrText xml:space="preserve"> (Judgment) [2004] [‘</w:instrText>
      </w:r>
      <w:r w:rsidR="0082465B" w:rsidRPr="001347F6">
        <w:rPr>
          <w:i/>
          <w:sz w:val="24"/>
          <w:szCs w:val="24"/>
        </w:rPr>
        <w:instrText>Avena case’</w:instrText>
      </w:r>
      <w:r w:rsidR="0082465B" w:rsidRPr="001347F6">
        <w:rPr>
          <w:sz w:val="24"/>
          <w:szCs w:val="24"/>
        </w:rPr>
        <w:instrText xml:space="preserve">] ICJ Rep </w:instrText>
      </w:r>
      <w:r w:rsidR="00CA7366" w:rsidRPr="001347F6">
        <w:rPr>
          <w:sz w:val="24"/>
          <w:szCs w:val="24"/>
        </w:rPr>
        <w:instrText>44</w:instrText>
      </w:r>
      <w:r w:rsidR="0082465B" w:rsidRPr="001347F6">
        <w:rPr>
          <w:sz w:val="24"/>
          <w:szCs w:val="24"/>
        </w:rPr>
        <w:instrText xml:space="preserve">" \s "Avena case" \c 1 </w:instrText>
      </w:r>
      <w:r w:rsidR="0082465B" w:rsidRPr="001347F6">
        <w:rPr>
          <w:sz w:val="24"/>
          <w:szCs w:val="24"/>
        </w:rPr>
        <w:fldChar w:fldCharType="end"/>
      </w:r>
      <w:r w:rsidRPr="001347F6">
        <w:rPr>
          <w:sz w:val="24"/>
          <w:szCs w:val="24"/>
        </w:rPr>
        <w:t xml:space="preserve"> [64]; </w:t>
      </w:r>
      <w:r w:rsidRPr="001347F6">
        <w:rPr>
          <w:i/>
          <w:sz w:val="24"/>
          <w:szCs w:val="24"/>
        </w:rPr>
        <w:t>Amparo Directo en Revisión 496/2014</w:t>
      </w:r>
      <w:r w:rsidRPr="001347F6">
        <w:rPr>
          <w:sz w:val="24"/>
          <w:szCs w:val="24"/>
        </w:rPr>
        <w:t>, National Supreme Court of Justice</w:t>
      </w:r>
      <w:r w:rsidR="00CA7366" w:rsidRPr="001347F6">
        <w:rPr>
          <w:sz w:val="24"/>
          <w:szCs w:val="24"/>
        </w:rPr>
        <w:t xml:space="preserve"> </w:t>
      </w:r>
      <w:r w:rsidRPr="001347F6">
        <w:rPr>
          <w:sz w:val="24"/>
          <w:szCs w:val="24"/>
        </w:rPr>
        <w:t xml:space="preserve"> (Mexico)</w:t>
      </w:r>
      <w:r w:rsidR="00CA7366" w:rsidRPr="001347F6">
        <w:rPr>
          <w:sz w:val="24"/>
          <w:szCs w:val="24"/>
        </w:rPr>
        <w:t xml:space="preserve"> </w:t>
      </w:r>
      <w:r w:rsidR="00CA7366" w:rsidRPr="001347F6">
        <w:rPr>
          <w:sz w:val="24"/>
          <w:szCs w:val="24"/>
        </w:rPr>
        <w:t>(8 October 2014)</w:t>
      </w:r>
      <w:r w:rsidR="0082465B" w:rsidRPr="001347F6">
        <w:rPr>
          <w:sz w:val="24"/>
          <w:szCs w:val="24"/>
        </w:rPr>
        <w:fldChar w:fldCharType="begin"/>
      </w:r>
      <w:r w:rsidR="0082465B" w:rsidRPr="001347F6">
        <w:rPr>
          <w:sz w:val="24"/>
          <w:szCs w:val="24"/>
        </w:rPr>
        <w:instrText xml:space="preserve"> TA \l "</w:instrText>
      </w:r>
      <w:r w:rsidR="0082465B" w:rsidRPr="001347F6">
        <w:rPr>
          <w:i/>
          <w:sz w:val="24"/>
          <w:szCs w:val="24"/>
        </w:rPr>
        <w:instrText>Amparo Directo en Revisión 496/2014</w:instrText>
      </w:r>
      <w:r w:rsidR="0082465B" w:rsidRPr="001347F6">
        <w:rPr>
          <w:sz w:val="24"/>
          <w:szCs w:val="24"/>
        </w:rPr>
        <w:instrText>, National Supreme Court of Justice</w:instrText>
      </w:r>
      <w:r w:rsidR="00CA7366" w:rsidRPr="001347F6">
        <w:rPr>
          <w:sz w:val="24"/>
          <w:szCs w:val="24"/>
        </w:rPr>
        <w:instrText xml:space="preserve"> (Mexico</w:instrText>
      </w:r>
      <w:r w:rsidR="0082465B" w:rsidRPr="001347F6">
        <w:rPr>
          <w:sz w:val="24"/>
          <w:szCs w:val="24"/>
        </w:rPr>
        <w:instrText>)</w:instrText>
      </w:r>
      <w:r w:rsidR="00CA7366" w:rsidRPr="001347F6">
        <w:rPr>
          <w:sz w:val="24"/>
          <w:szCs w:val="24"/>
        </w:rPr>
        <w:instrText xml:space="preserve"> (8 October 2014)</w:instrText>
      </w:r>
      <w:r w:rsidR="0082465B" w:rsidRPr="001347F6">
        <w:rPr>
          <w:sz w:val="24"/>
          <w:szCs w:val="24"/>
        </w:rPr>
        <w:instrText xml:space="preserve">" \s "Amparo Directo en Revisión" \c 5 </w:instrText>
      </w:r>
      <w:r w:rsidR="0082465B" w:rsidRPr="001347F6">
        <w:rPr>
          <w:sz w:val="24"/>
          <w:szCs w:val="24"/>
        </w:rPr>
        <w:fldChar w:fldCharType="end"/>
      </w:r>
      <w:r w:rsidRPr="001347F6">
        <w:rPr>
          <w:sz w:val="24"/>
          <w:szCs w:val="24"/>
        </w:rPr>
        <w:t xml:space="preserve"> [77].</w:t>
      </w:r>
    </w:p>
    <w:p w14:paraId="03B26BA0" w14:textId="77777777" w:rsidR="008C2177" w:rsidRPr="001347F6" w:rsidRDefault="008C2177" w:rsidP="001347F6">
      <w:pPr>
        <w:widowControl/>
        <w:jc w:val="both"/>
        <w:rPr>
          <w:sz w:val="24"/>
          <w:szCs w:val="24"/>
        </w:rPr>
      </w:pPr>
    </w:p>
  </w:footnote>
  <w:footnote w:id="154">
    <w:p w14:paraId="6ED79D88" w14:textId="3A0507CB"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IACHR, Report No. 453/21. ‘Manuel Valle v. USA’ (Admissibility and Merits) (31 December 2021) [</w:t>
      </w:r>
      <w:r w:rsidRPr="001347F6">
        <w:rPr>
          <w:i/>
          <w:sz w:val="24"/>
          <w:szCs w:val="24"/>
        </w:rPr>
        <w:t>‘Manuel Valle v. USA’</w:t>
      </w:r>
      <w:r w:rsidRPr="001347F6">
        <w:rPr>
          <w:sz w:val="24"/>
          <w:szCs w:val="24"/>
        </w:rPr>
        <w:t>]</w:t>
      </w:r>
      <w:r w:rsidR="0082465B" w:rsidRPr="001347F6">
        <w:rPr>
          <w:sz w:val="24"/>
          <w:szCs w:val="24"/>
        </w:rPr>
        <w:fldChar w:fldCharType="begin"/>
      </w:r>
      <w:r w:rsidR="0082465B" w:rsidRPr="001347F6">
        <w:rPr>
          <w:sz w:val="24"/>
          <w:szCs w:val="24"/>
        </w:rPr>
        <w:instrText xml:space="preserve"> TA \l "IACHR, Report No. 453/21. ‘Manuel Valle v. USA’ (Admissibility and Merits) (31 December 2021) [</w:instrText>
      </w:r>
      <w:r w:rsidR="0082465B" w:rsidRPr="001347F6">
        <w:rPr>
          <w:i/>
          <w:sz w:val="24"/>
          <w:szCs w:val="24"/>
        </w:rPr>
        <w:instrText>‘Manuel Valle v. USA’</w:instrText>
      </w:r>
      <w:r w:rsidR="0082465B" w:rsidRPr="001347F6">
        <w:rPr>
          <w:sz w:val="24"/>
          <w:szCs w:val="24"/>
        </w:rPr>
        <w:instrText xml:space="preserve">]" \s "Manuel Valle v. USA" \c 4 </w:instrText>
      </w:r>
      <w:r w:rsidR="0082465B" w:rsidRPr="001347F6">
        <w:rPr>
          <w:sz w:val="24"/>
          <w:szCs w:val="24"/>
        </w:rPr>
        <w:fldChar w:fldCharType="end"/>
      </w:r>
      <w:r w:rsidRPr="001347F6">
        <w:rPr>
          <w:sz w:val="24"/>
          <w:szCs w:val="24"/>
        </w:rPr>
        <w:t xml:space="preserve"> [39]; </w:t>
      </w:r>
      <w:r w:rsidRPr="001347F6">
        <w:rPr>
          <w:i/>
          <w:sz w:val="24"/>
          <w:szCs w:val="24"/>
        </w:rPr>
        <w:t>Case of F. &amp; T., 2 BvR 2115/01</w:t>
      </w:r>
      <w:r w:rsidRPr="001347F6">
        <w:rPr>
          <w:sz w:val="24"/>
          <w:szCs w:val="24"/>
        </w:rPr>
        <w:t>, Federal Constitutional Court (Germany)</w:t>
      </w:r>
      <w:r w:rsidR="00CA7366" w:rsidRPr="001347F6">
        <w:rPr>
          <w:sz w:val="24"/>
          <w:szCs w:val="24"/>
        </w:rPr>
        <w:t xml:space="preserve"> </w:t>
      </w:r>
      <w:r w:rsidR="00CA7366" w:rsidRPr="001347F6">
        <w:rPr>
          <w:sz w:val="24"/>
          <w:szCs w:val="24"/>
        </w:rPr>
        <w:t xml:space="preserve">(19 September 2006) </w:t>
      </w:r>
      <w:r w:rsidR="0082465B" w:rsidRPr="001347F6">
        <w:rPr>
          <w:sz w:val="24"/>
          <w:szCs w:val="24"/>
        </w:rPr>
        <w:fldChar w:fldCharType="begin"/>
      </w:r>
      <w:r w:rsidR="0082465B" w:rsidRPr="001347F6">
        <w:rPr>
          <w:sz w:val="24"/>
          <w:szCs w:val="24"/>
        </w:rPr>
        <w:instrText xml:space="preserve"> TA \l "</w:instrText>
      </w:r>
      <w:r w:rsidR="0082465B" w:rsidRPr="001347F6">
        <w:rPr>
          <w:i/>
          <w:sz w:val="24"/>
          <w:szCs w:val="24"/>
        </w:rPr>
        <w:instrText>Case of F. &amp; T., 2 BvR 2115/01</w:instrText>
      </w:r>
      <w:r w:rsidR="0082465B" w:rsidRPr="001347F6">
        <w:rPr>
          <w:sz w:val="24"/>
          <w:szCs w:val="24"/>
        </w:rPr>
        <w:instrText>, Federal Constitutional Court (Germany)</w:instrText>
      </w:r>
      <w:r w:rsidR="00CA7366" w:rsidRPr="001347F6">
        <w:rPr>
          <w:sz w:val="24"/>
          <w:szCs w:val="24"/>
        </w:rPr>
        <w:instrText xml:space="preserve"> (19 September 2019)</w:instrText>
      </w:r>
      <w:r w:rsidR="0082465B" w:rsidRPr="001347F6">
        <w:rPr>
          <w:sz w:val="24"/>
          <w:szCs w:val="24"/>
        </w:rPr>
        <w:instrText xml:space="preserve">" \s "Case of F. &amp; T., 2 BvR 2115/01" \c 5 </w:instrText>
      </w:r>
      <w:r w:rsidR="0082465B" w:rsidRPr="001347F6">
        <w:rPr>
          <w:sz w:val="24"/>
          <w:szCs w:val="24"/>
        </w:rPr>
        <w:fldChar w:fldCharType="end"/>
      </w:r>
      <w:r w:rsidRPr="001347F6">
        <w:rPr>
          <w:sz w:val="24"/>
          <w:szCs w:val="24"/>
        </w:rPr>
        <w:t xml:space="preserve"> [65].</w:t>
      </w:r>
    </w:p>
    <w:p w14:paraId="60C36463" w14:textId="77777777" w:rsidR="008C2177" w:rsidRPr="001347F6" w:rsidRDefault="008C2177" w:rsidP="001347F6">
      <w:pPr>
        <w:widowControl/>
        <w:jc w:val="both"/>
        <w:rPr>
          <w:sz w:val="24"/>
          <w:szCs w:val="24"/>
        </w:rPr>
      </w:pPr>
    </w:p>
  </w:footnote>
  <w:footnote w:id="155">
    <w:p w14:paraId="42EF1F14" w14:textId="454D1E58" w:rsidR="008C2177" w:rsidRPr="001347F6" w:rsidRDefault="00000000" w:rsidP="001347F6">
      <w:pPr>
        <w:widowControl/>
        <w:jc w:val="both"/>
        <w:rPr>
          <w:sz w:val="24"/>
          <w:szCs w:val="24"/>
          <w:lang w:val="es-CO"/>
        </w:rPr>
      </w:pPr>
      <w:r w:rsidRPr="001347F6">
        <w:rPr>
          <w:sz w:val="24"/>
          <w:szCs w:val="24"/>
          <w:vertAlign w:val="superscript"/>
        </w:rPr>
        <w:footnoteRef/>
      </w:r>
      <w:r w:rsidRPr="001347F6">
        <w:rPr>
          <w:sz w:val="24"/>
          <w:szCs w:val="24"/>
          <w:lang w:val="es-CO"/>
        </w:rPr>
        <w:t xml:space="preserve"> </w:t>
      </w:r>
      <w:r w:rsidRPr="001347F6">
        <w:rPr>
          <w:i/>
          <w:iCs/>
          <w:sz w:val="24"/>
          <w:szCs w:val="24"/>
          <w:lang w:val="es-CO"/>
        </w:rPr>
        <w:t>Memorial</w:t>
      </w:r>
      <w:r w:rsidRPr="001347F6">
        <w:rPr>
          <w:sz w:val="24"/>
          <w:szCs w:val="24"/>
          <w:lang w:val="es-CO"/>
        </w:rPr>
        <w:t>, III</w:t>
      </w:r>
      <w:r w:rsidR="00006534" w:rsidRPr="001347F6">
        <w:rPr>
          <w:sz w:val="24"/>
          <w:szCs w:val="24"/>
          <w:lang w:val="es-CO"/>
        </w:rPr>
        <w:t>.</w:t>
      </w:r>
      <w:r w:rsidRPr="001347F6">
        <w:rPr>
          <w:sz w:val="24"/>
          <w:szCs w:val="24"/>
          <w:lang w:val="es-CO"/>
        </w:rPr>
        <w:t>A(1)(b).</w:t>
      </w:r>
    </w:p>
    <w:p w14:paraId="6A88186E" w14:textId="77777777" w:rsidR="008C2177" w:rsidRPr="001347F6" w:rsidRDefault="008C2177" w:rsidP="001347F6">
      <w:pPr>
        <w:widowControl/>
        <w:jc w:val="both"/>
        <w:rPr>
          <w:sz w:val="24"/>
          <w:szCs w:val="24"/>
          <w:lang w:val="es-CO"/>
        </w:rPr>
      </w:pPr>
    </w:p>
  </w:footnote>
  <w:footnote w:id="156">
    <w:p w14:paraId="021E2FD2" w14:textId="77777777" w:rsidR="008C2177" w:rsidRPr="001347F6" w:rsidRDefault="00000000" w:rsidP="001347F6">
      <w:pPr>
        <w:widowControl/>
        <w:jc w:val="both"/>
        <w:rPr>
          <w:sz w:val="24"/>
          <w:szCs w:val="24"/>
          <w:lang w:val="es-CO"/>
        </w:rPr>
      </w:pPr>
      <w:r w:rsidRPr="001347F6">
        <w:rPr>
          <w:sz w:val="24"/>
          <w:szCs w:val="24"/>
          <w:vertAlign w:val="superscript"/>
        </w:rPr>
        <w:footnoteRef/>
      </w:r>
      <w:r w:rsidRPr="001347F6">
        <w:rPr>
          <w:sz w:val="24"/>
          <w:szCs w:val="24"/>
          <w:lang w:val="es-CO"/>
        </w:rPr>
        <w:t xml:space="preserve"> Compromis, [43].</w:t>
      </w:r>
    </w:p>
    <w:p w14:paraId="5B1D486E" w14:textId="77777777" w:rsidR="008C2177" w:rsidRPr="001347F6" w:rsidRDefault="008C2177" w:rsidP="001347F6">
      <w:pPr>
        <w:widowControl/>
        <w:jc w:val="both"/>
        <w:rPr>
          <w:sz w:val="24"/>
          <w:szCs w:val="24"/>
          <w:lang w:val="es-CO"/>
        </w:rPr>
      </w:pPr>
    </w:p>
  </w:footnote>
  <w:footnote w:id="157">
    <w:p w14:paraId="0D708633" w14:textId="765116EE"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VCCR</w:t>
      </w:r>
      <w:r w:rsidR="000B5DB7" w:rsidRPr="001347F6">
        <w:rPr>
          <w:sz w:val="24"/>
          <w:szCs w:val="24"/>
        </w:rPr>
        <w:fldChar w:fldCharType="begin"/>
      </w:r>
      <w:r w:rsidR="000B5DB7" w:rsidRPr="001347F6">
        <w:rPr>
          <w:sz w:val="24"/>
          <w:szCs w:val="24"/>
        </w:rPr>
        <w:instrText xml:space="preserve"> TA \s "VCCR" </w:instrText>
      </w:r>
      <w:r w:rsidR="000B5DB7" w:rsidRPr="001347F6">
        <w:rPr>
          <w:sz w:val="24"/>
          <w:szCs w:val="24"/>
        </w:rPr>
        <w:fldChar w:fldCharType="end"/>
      </w:r>
      <w:r w:rsidRPr="001347F6">
        <w:rPr>
          <w:sz w:val="24"/>
          <w:szCs w:val="24"/>
        </w:rPr>
        <w:t>,</w:t>
      </w:r>
      <w:r w:rsidR="000E212C" w:rsidRPr="001347F6">
        <w:rPr>
          <w:sz w:val="24"/>
          <w:szCs w:val="24"/>
        </w:rPr>
        <w:t xml:space="preserve"> </w:t>
      </w:r>
      <w:r w:rsidRPr="001347F6">
        <w:rPr>
          <w:sz w:val="24"/>
          <w:szCs w:val="24"/>
        </w:rPr>
        <w:t xml:space="preserve">Art 36(1)(b); </w:t>
      </w:r>
      <w:r w:rsidRPr="001347F6">
        <w:rPr>
          <w:i/>
          <w:sz w:val="24"/>
          <w:szCs w:val="24"/>
        </w:rPr>
        <w:t>The Right to Information on Consular Assistance in the Framework of the Guarantees of the Due Process of Law</w:t>
      </w:r>
      <w:r w:rsidRPr="001347F6">
        <w:rPr>
          <w:sz w:val="24"/>
          <w:szCs w:val="24"/>
        </w:rPr>
        <w:t xml:space="preserve"> (Advisory Opinion) OC-16/99 IACtHR Series A No. 16 (1 October 1999)</w:t>
      </w:r>
      <w:r w:rsidR="0082465B" w:rsidRPr="001347F6">
        <w:rPr>
          <w:sz w:val="24"/>
          <w:szCs w:val="24"/>
        </w:rPr>
        <w:fldChar w:fldCharType="begin"/>
      </w:r>
      <w:r w:rsidR="0082465B" w:rsidRPr="001347F6">
        <w:rPr>
          <w:sz w:val="24"/>
          <w:szCs w:val="24"/>
        </w:rPr>
        <w:instrText xml:space="preserve"> TA \l "</w:instrText>
      </w:r>
      <w:r w:rsidR="0082465B" w:rsidRPr="001347F6">
        <w:rPr>
          <w:i/>
          <w:sz w:val="24"/>
          <w:szCs w:val="24"/>
        </w:rPr>
        <w:instrText>The Right to Information on Consular Assistance in the Framework of the Guarantees of the Due Process of Law</w:instrText>
      </w:r>
      <w:r w:rsidR="0082465B" w:rsidRPr="001347F6">
        <w:rPr>
          <w:sz w:val="24"/>
          <w:szCs w:val="24"/>
        </w:rPr>
        <w:instrText xml:space="preserve"> (Advisory Opinion) OC-16/99 IACtHR Series A No. 16 (1 October 1999)" \s "OC-16/99" \c 4 </w:instrText>
      </w:r>
      <w:r w:rsidR="0082465B" w:rsidRPr="001347F6">
        <w:rPr>
          <w:sz w:val="24"/>
          <w:szCs w:val="24"/>
        </w:rPr>
        <w:fldChar w:fldCharType="end"/>
      </w:r>
      <w:r w:rsidRPr="001347F6">
        <w:rPr>
          <w:sz w:val="24"/>
          <w:szCs w:val="24"/>
        </w:rPr>
        <w:t xml:space="preserve"> [</w:t>
      </w:r>
      <w:r w:rsidR="00006534" w:rsidRPr="001347F6">
        <w:rPr>
          <w:sz w:val="24"/>
          <w:szCs w:val="24"/>
        </w:rPr>
        <w:t>81</w:t>
      </w:r>
      <w:r w:rsidRPr="001347F6">
        <w:rPr>
          <w:sz w:val="24"/>
          <w:szCs w:val="24"/>
        </w:rPr>
        <w:t xml:space="preserve">]; </w:t>
      </w:r>
      <w:r w:rsidRPr="001347F6">
        <w:rPr>
          <w:i/>
          <w:sz w:val="24"/>
          <w:szCs w:val="24"/>
        </w:rPr>
        <w:t>Manuel Valle v. USA</w:t>
      </w:r>
      <w:r w:rsidR="0082465B" w:rsidRPr="001347F6">
        <w:rPr>
          <w:i/>
          <w:sz w:val="24"/>
          <w:szCs w:val="24"/>
        </w:rPr>
        <w:fldChar w:fldCharType="begin"/>
      </w:r>
      <w:r w:rsidR="0082465B" w:rsidRPr="001347F6">
        <w:rPr>
          <w:i/>
          <w:sz w:val="24"/>
          <w:szCs w:val="24"/>
        </w:rPr>
        <w:instrText xml:space="preserve"> TA \s "Manuel Valle v. USA" </w:instrText>
      </w:r>
      <w:r w:rsidR="0082465B" w:rsidRPr="001347F6">
        <w:rPr>
          <w:i/>
          <w:sz w:val="24"/>
          <w:szCs w:val="24"/>
        </w:rPr>
        <w:fldChar w:fldCharType="end"/>
      </w:r>
      <w:r w:rsidRPr="001347F6">
        <w:rPr>
          <w:i/>
          <w:sz w:val="24"/>
          <w:szCs w:val="24"/>
        </w:rPr>
        <w:t>,</w:t>
      </w:r>
      <w:r w:rsidRPr="001347F6">
        <w:rPr>
          <w:sz w:val="24"/>
          <w:szCs w:val="24"/>
        </w:rPr>
        <w:t xml:space="preserve"> [</w:t>
      </w:r>
      <w:r w:rsidR="00006534" w:rsidRPr="001347F6">
        <w:rPr>
          <w:sz w:val="24"/>
          <w:szCs w:val="24"/>
        </w:rPr>
        <w:t>40</w:t>
      </w:r>
      <w:r w:rsidRPr="001347F6">
        <w:rPr>
          <w:sz w:val="24"/>
          <w:szCs w:val="24"/>
        </w:rPr>
        <w:t>]-[41]; IACHR, Report No. 454/21 ‘José Trinidad Loza Ventura v. USA’ (Admissibility and Merits) Case 13.478. (31 December 2021)</w:t>
      </w:r>
      <w:r w:rsidR="0082465B" w:rsidRPr="001347F6">
        <w:rPr>
          <w:sz w:val="24"/>
          <w:szCs w:val="24"/>
        </w:rPr>
        <w:fldChar w:fldCharType="begin"/>
      </w:r>
      <w:r w:rsidR="0082465B" w:rsidRPr="001347F6">
        <w:rPr>
          <w:sz w:val="24"/>
          <w:szCs w:val="24"/>
        </w:rPr>
        <w:instrText xml:space="preserve"> TA \l "IACHR, Report No. 454/21 ‘José Trinidad Loza Ventura v. USA’ (Admissibility and Merits) Case 13.478. (31 December 2021)" \s "José Trinidad Loza Ventura v. USA" \c 4 </w:instrText>
      </w:r>
      <w:r w:rsidR="0082465B" w:rsidRPr="001347F6">
        <w:rPr>
          <w:sz w:val="24"/>
          <w:szCs w:val="24"/>
        </w:rPr>
        <w:fldChar w:fldCharType="end"/>
      </w:r>
      <w:r w:rsidRPr="001347F6">
        <w:rPr>
          <w:sz w:val="24"/>
          <w:szCs w:val="24"/>
        </w:rPr>
        <w:t xml:space="preserve"> [60]-[62].</w:t>
      </w:r>
    </w:p>
    <w:p w14:paraId="30D8FBAA" w14:textId="77777777" w:rsidR="008C2177" w:rsidRPr="001347F6" w:rsidRDefault="008C2177" w:rsidP="001347F6">
      <w:pPr>
        <w:widowControl/>
        <w:jc w:val="both"/>
        <w:rPr>
          <w:sz w:val="24"/>
          <w:szCs w:val="24"/>
        </w:rPr>
      </w:pPr>
    </w:p>
  </w:footnote>
  <w:footnote w:id="158">
    <w:p w14:paraId="0F3B77E3" w14:textId="42A4DBD7"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VCCR</w:t>
      </w:r>
      <w:r w:rsidR="000B5DB7" w:rsidRPr="001347F6">
        <w:rPr>
          <w:sz w:val="24"/>
          <w:szCs w:val="24"/>
        </w:rPr>
        <w:fldChar w:fldCharType="begin"/>
      </w:r>
      <w:r w:rsidR="000B5DB7" w:rsidRPr="001347F6">
        <w:rPr>
          <w:sz w:val="24"/>
          <w:szCs w:val="24"/>
        </w:rPr>
        <w:instrText xml:space="preserve"> TA \s "VCCR" </w:instrText>
      </w:r>
      <w:r w:rsidR="000B5DB7" w:rsidRPr="001347F6">
        <w:rPr>
          <w:sz w:val="24"/>
          <w:szCs w:val="24"/>
        </w:rPr>
        <w:fldChar w:fldCharType="end"/>
      </w:r>
      <w:r w:rsidRPr="001347F6">
        <w:rPr>
          <w:sz w:val="24"/>
          <w:szCs w:val="24"/>
        </w:rPr>
        <w:t>,</w:t>
      </w:r>
      <w:r w:rsidR="000E212C" w:rsidRPr="001347F6">
        <w:rPr>
          <w:sz w:val="24"/>
          <w:szCs w:val="24"/>
        </w:rPr>
        <w:t xml:space="preserve"> </w:t>
      </w:r>
      <w:r w:rsidRPr="001347F6">
        <w:rPr>
          <w:sz w:val="24"/>
          <w:szCs w:val="24"/>
        </w:rPr>
        <w:t xml:space="preserve">Art 36(1)(b); </w:t>
      </w:r>
      <w:r w:rsidRPr="001347F6">
        <w:rPr>
          <w:i/>
          <w:sz w:val="24"/>
          <w:szCs w:val="24"/>
        </w:rPr>
        <w:t xml:space="preserve">LaGrand Case (Germany v. USA) </w:t>
      </w:r>
      <w:r w:rsidRPr="001347F6">
        <w:rPr>
          <w:sz w:val="24"/>
          <w:szCs w:val="24"/>
        </w:rPr>
        <w:t>(Merits) [2001] ICJ Rep 466</w:t>
      </w:r>
      <w:r w:rsidR="0082465B" w:rsidRPr="001347F6">
        <w:rPr>
          <w:sz w:val="24"/>
          <w:szCs w:val="24"/>
        </w:rPr>
        <w:fldChar w:fldCharType="begin"/>
      </w:r>
      <w:r w:rsidR="0082465B" w:rsidRPr="001347F6">
        <w:rPr>
          <w:sz w:val="24"/>
          <w:szCs w:val="24"/>
        </w:rPr>
        <w:instrText xml:space="preserve"> TA \l "</w:instrText>
      </w:r>
      <w:r w:rsidR="0082465B" w:rsidRPr="001347F6">
        <w:rPr>
          <w:i/>
          <w:sz w:val="24"/>
          <w:szCs w:val="24"/>
        </w:rPr>
        <w:instrText xml:space="preserve">LaGrand Case (Germany v. USA) </w:instrText>
      </w:r>
      <w:r w:rsidR="0082465B" w:rsidRPr="001347F6">
        <w:rPr>
          <w:sz w:val="24"/>
          <w:szCs w:val="24"/>
        </w:rPr>
        <w:instrText xml:space="preserve">(Merits) [2001] ICJ Rep 466" \s "LaGrand Case" \c 1 </w:instrText>
      </w:r>
      <w:r w:rsidR="0082465B" w:rsidRPr="001347F6">
        <w:rPr>
          <w:sz w:val="24"/>
          <w:szCs w:val="24"/>
        </w:rPr>
        <w:fldChar w:fldCharType="end"/>
      </w:r>
      <w:r w:rsidRPr="001347F6">
        <w:rPr>
          <w:sz w:val="24"/>
          <w:szCs w:val="24"/>
        </w:rPr>
        <w:t xml:space="preserve"> [77]; </w:t>
      </w:r>
      <w:r w:rsidRPr="001347F6">
        <w:rPr>
          <w:i/>
          <w:sz w:val="24"/>
          <w:szCs w:val="24"/>
        </w:rPr>
        <w:t>Osagiede v. United States</w:t>
      </w:r>
      <w:r w:rsidRPr="001347F6">
        <w:rPr>
          <w:sz w:val="24"/>
          <w:szCs w:val="24"/>
        </w:rPr>
        <w:t>, United States Court of Appeals, Seventh Circuit (9 September 2008)</w:t>
      </w:r>
      <w:r w:rsidR="0082465B" w:rsidRPr="001347F6">
        <w:rPr>
          <w:sz w:val="24"/>
          <w:szCs w:val="24"/>
        </w:rPr>
        <w:fldChar w:fldCharType="begin"/>
      </w:r>
      <w:r w:rsidR="0082465B" w:rsidRPr="001347F6">
        <w:rPr>
          <w:sz w:val="24"/>
          <w:szCs w:val="24"/>
        </w:rPr>
        <w:instrText xml:space="preserve"> TA \l "</w:instrText>
      </w:r>
      <w:r w:rsidR="0082465B" w:rsidRPr="001347F6">
        <w:rPr>
          <w:i/>
          <w:sz w:val="24"/>
          <w:szCs w:val="24"/>
        </w:rPr>
        <w:instrText>Osagiede v. United States</w:instrText>
      </w:r>
      <w:r w:rsidR="0082465B" w:rsidRPr="001347F6">
        <w:rPr>
          <w:sz w:val="24"/>
          <w:szCs w:val="24"/>
        </w:rPr>
        <w:instrText xml:space="preserve">, United States Court of Appeals, Seventh Circuit (9 September 2008)" \s "Osagiede v. United States" \c 5 </w:instrText>
      </w:r>
      <w:r w:rsidR="0082465B" w:rsidRPr="001347F6">
        <w:rPr>
          <w:sz w:val="24"/>
          <w:szCs w:val="24"/>
        </w:rPr>
        <w:fldChar w:fldCharType="end"/>
      </w:r>
      <w:r w:rsidRPr="001347F6">
        <w:rPr>
          <w:sz w:val="24"/>
          <w:szCs w:val="24"/>
        </w:rPr>
        <w:t xml:space="preserve"> pp. </w:t>
      </w:r>
      <w:r w:rsidR="00006534" w:rsidRPr="001347F6">
        <w:rPr>
          <w:sz w:val="24"/>
          <w:szCs w:val="24"/>
        </w:rPr>
        <w:t>403</w:t>
      </w:r>
      <w:r w:rsidRPr="001347F6">
        <w:rPr>
          <w:sz w:val="24"/>
          <w:szCs w:val="24"/>
        </w:rPr>
        <w:t xml:space="preserve">; </w:t>
      </w:r>
      <w:r w:rsidRPr="001347F6">
        <w:rPr>
          <w:i/>
          <w:sz w:val="24"/>
          <w:szCs w:val="24"/>
        </w:rPr>
        <w:t>Amparo Directo en Revisión 517/2011</w:t>
      </w:r>
      <w:r w:rsidRPr="001347F6">
        <w:rPr>
          <w:sz w:val="24"/>
          <w:szCs w:val="24"/>
        </w:rPr>
        <w:t xml:space="preserve">, National Supreme Court of Justice </w:t>
      </w:r>
      <w:r w:rsidR="00006534" w:rsidRPr="001347F6">
        <w:rPr>
          <w:sz w:val="24"/>
          <w:szCs w:val="24"/>
        </w:rPr>
        <w:t>(Mexico</w:t>
      </w:r>
      <w:r w:rsidR="00006534" w:rsidRPr="001347F6">
        <w:rPr>
          <w:sz w:val="24"/>
          <w:szCs w:val="24"/>
        </w:rPr>
        <w:t xml:space="preserve">) </w:t>
      </w:r>
      <w:r w:rsidRPr="001347F6">
        <w:rPr>
          <w:sz w:val="24"/>
          <w:szCs w:val="24"/>
        </w:rPr>
        <w:t>(23 January 2013) pp. 86.</w:t>
      </w:r>
      <w:r w:rsidR="004E3CC9" w:rsidRPr="001347F6">
        <w:rPr>
          <w:sz w:val="24"/>
          <w:szCs w:val="24"/>
        </w:rPr>
        <w:fldChar w:fldCharType="begin"/>
      </w:r>
      <w:r w:rsidR="004E3CC9" w:rsidRPr="001347F6">
        <w:rPr>
          <w:sz w:val="24"/>
          <w:szCs w:val="24"/>
        </w:rPr>
        <w:instrText xml:space="preserve"> TA \l "</w:instrText>
      </w:r>
      <w:r w:rsidR="004E3CC9" w:rsidRPr="001347F6">
        <w:rPr>
          <w:i/>
          <w:sz w:val="24"/>
          <w:szCs w:val="24"/>
        </w:rPr>
        <w:instrText>Amparo Directo en Revisión 517/2011</w:instrText>
      </w:r>
      <w:r w:rsidR="004E3CC9" w:rsidRPr="001347F6">
        <w:rPr>
          <w:sz w:val="24"/>
          <w:szCs w:val="24"/>
        </w:rPr>
        <w:instrText xml:space="preserve">, National Supreme Court of Justice </w:instrText>
      </w:r>
      <w:r w:rsidR="00006534" w:rsidRPr="001347F6">
        <w:rPr>
          <w:sz w:val="24"/>
          <w:szCs w:val="24"/>
        </w:rPr>
        <w:instrText xml:space="preserve">(Mexico) </w:instrText>
      </w:r>
      <w:r w:rsidR="004E3CC9" w:rsidRPr="001347F6">
        <w:rPr>
          <w:sz w:val="24"/>
          <w:szCs w:val="24"/>
        </w:rPr>
        <w:instrText xml:space="preserve">(23 January 2013) pp. 86." \s "Amparo Directo en Revisión 517/2011" \c 5 </w:instrText>
      </w:r>
      <w:r w:rsidR="004E3CC9" w:rsidRPr="001347F6">
        <w:rPr>
          <w:sz w:val="24"/>
          <w:szCs w:val="24"/>
        </w:rPr>
        <w:fldChar w:fldCharType="end"/>
      </w:r>
    </w:p>
    <w:p w14:paraId="7772EBBF" w14:textId="77777777" w:rsidR="008C2177" w:rsidRPr="001347F6" w:rsidRDefault="008C2177" w:rsidP="001347F6">
      <w:pPr>
        <w:widowControl/>
        <w:jc w:val="both"/>
        <w:rPr>
          <w:sz w:val="24"/>
          <w:szCs w:val="24"/>
        </w:rPr>
      </w:pPr>
    </w:p>
  </w:footnote>
  <w:footnote w:id="159">
    <w:p w14:paraId="0ECAE5A4" w14:textId="0FCB4224"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VCCR</w:t>
      </w:r>
      <w:r w:rsidR="000B5DB7" w:rsidRPr="001347F6">
        <w:rPr>
          <w:sz w:val="24"/>
          <w:szCs w:val="24"/>
        </w:rPr>
        <w:fldChar w:fldCharType="begin"/>
      </w:r>
      <w:r w:rsidR="000B5DB7" w:rsidRPr="001347F6">
        <w:rPr>
          <w:sz w:val="24"/>
          <w:szCs w:val="24"/>
        </w:rPr>
        <w:instrText xml:space="preserve"> TA \s "VCCR" </w:instrText>
      </w:r>
      <w:r w:rsidR="000B5DB7" w:rsidRPr="001347F6">
        <w:rPr>
          <w:sz w:val="24"/>
          <w:szCs w:val="24"/>
        </w:rPr>
        <w:fldChar w:fldCharType="end"/>
      </w:r>
      <w:r w:rsidRPr="001347F6">
        <w:rPr>
          <w:sz w:val="24"/>
          <w:szCs w:val="24"/>
        </w:rPr>
        <w:t>,</w:t>
      </w:r>
      <w:r w:rsidR="000E212C" w:rsidRPr="001347F6">
        <w:rPr>
          <w:sz w:val="24"/>
          <w:szCs w:val="24"/>
        </w:rPr>
        <w:t xml:space="preserve"> </w:t>
      </w:r>
      <w:r w:rsidRPr="001347F6">
        <w:rPr>
          <w:sz w:val="24"/>
          <w:szCs w:val="24"/>
        </w:rPr>
        <w:t xml:space="preserve">Art 36(1)(c); </w:t>
      </w:r>
      <w:r w:rsidRPr="001347F6">
        <w:rPr>
          <w:i/>
          <w:sz w:val="24"/>
          <w:szCs w:val="24"/>
        </w:rPr>
        <w:t>Jadhav</w:t>
      </w:r>
      <w:r w:rsidR="006C5F55" w:rsidRPr="001347F6">
        <w:rPr>
          <w:i/>
          <w:sz w:val="24"/>
          <w:szCs w:val="24"/>
        </w:rPr>
        <w:fldChar w:fldCharType="begin"/>
      </w:r>
      <w:r w:rsidR="006C5F55" w:rsidRPr="001347F6">
        <w:rPr>
          <w:i/>
          <w:sz w:val="24"/>
          <w:szCs w:val="24"/>
        </w:rPr>
        <w:instrText xml:space="preserve"> TA \s "Jadhav" </w:instrText>
      </w:r>
      <w:r w:rsidR="006C5F55" w:rsidRPr="001347F6">
        <w:rPr>
          <w:i/>
          <w:sz w:val="24"/>
          <w:szCs w:val="24"/>
        </w:rPr>
        <w:fldChar w:fldCharType="end"/>
      </w:r>
      <w:r w:rsidRPr="001347F6">
        <w:rPr>
          <w:i/>
          <w:sz w:val="24"/>
          <w:szCs w:val="24"/>
        </w:rPr>
        <w:t xml:space="preserve"> </w:t>
      </w:r>
      <w:r w:rsidRPr="001347F6">
        <w:rPr>
          <w:sz w:val="24"/>
          <w:szCs w:val="24"/>
        </w:rPr>
        <w:t>[123]; Lee, L., Quigley, J.B., ‘</w:t>
      </w:r>
      <w:r w:rsidRPr="001347F6">
        <w:rPr>
          <w:i/>
          <w:sz w:val="24"/>
          <w:szCs w:val="24"/>
        </w:rPr>
        <w:t xml:space="preserve">Consular law and practice’ </w:t>
      </w:r>
      <w:r w:rsidRPr="001347F6">
        <w:rPr>
          <w:sz w:val="24"/>
          <w:szCs w:val="24"/>
        </w:rPr>
        <w:t>(OUP 2008)</w:t>
      </w:r>
      <w:r w:rsidR="004E3CC9" w:rsidRPr="001347F6">
        <w:rPr>
          <w:sz w:val="24"/>
          <w:szCs w:val="24"/>
        </w:rPr>
        <w:fldChar w:fldCharType="begin"/>
      </w:r>
      <w:r w:rsidR="004E3CC9" w:rsidRPr="001347F6">
        <w:rPr>
          <w:sz w:val="24"/>
          <w:szCs w:val="24"/>
        </w:rPr>
        <w:instrText xml:space="preserve"> TA \l "Lee, L., Quigley, J.B., ‘</w:instrText>
      </w:r>
      <w:r w:rsidR="004E3CC9" w:rsidRPr="001347F6">
        <w:rPr>
          <w:i/>
          <w:sz w:val="24"/>
          <w:szCs w:val="24"/>
        </w:rPr>
        <w:instrText xml:space="preserve">Consular law and practice’ </w:instrText>
      </w:r>
      <w:r w:rsidR="004E3CC9" w:rsidRPr="001347F6">
        <w:rPr>
          <w:sz w:val="24"/>
          <w:szCs w:val="24"/>
        </w:rPr>
        <w:instrText xml:space="preserve">(OUP 2008)" \s "Lee, L., Quigley, J.B." \c 6 </w:instrText>
      </w:r>
      <w:r w:rsidR="004E3CC9" w:rsidRPr="001347F6">
        <w:rPr>
          <w:sz w:val="24"/>
          <w:szCs w:val="24"/>
        </w:rPr>
        <w:fldChar w:fldCharType="end"/>
      </w:r>
      <w:r w:rsidR="00006534" w:rsidRPr="001347F6">
        <w:rPr>
          <w:sz w:val="24"/>
          <w:szCs w:val="24"/>
        </w:rPr>
        <w:t xml:space="preserve"> [</w:t>
      </w:r>
      <w:r w:rsidRPr="001347F6">
        <w:rPr>
          <w:sz w:val="24"/>
          <w:szCs w:val="24"/>
        </w:rPr>
        <w:t>139</w:t>
      </w:r>
      <w:r w:rsidR="00006534" w:rsidRPr="001347F6">
        <w:rPr>
          <w:sz w:val="24"/>
          <w:szCs w:val="24"/>
        </w:rPr>
        <w:t>]</w:t>
      </w:r>
      <w:r w:rsidRPr="001347F6">
        <w:rPr>
          <w:sz w:val="24"/>
          <w:szCs w:val="24"/>
        </w:rPr>
        <w:t xml:space="preserve">; Wojcik, M. </w:t>
      </w:r>
      <w:r w:rsidRPr="001347F6">
        <w:rPr>
          <w:i/>
          <w:sz w:val="24"/>
          <w:szCs w:val="24"/>
        </w:rPr>
        <w:t xml:space="preserve">Consular Notification for Dual Nationals </w:t>
      </w:r>
      <w:r w:rsidRPr="001347F6">
        <w:rPr>
          <w:sz w:val="24"/>
          <w:szCs w:val="24"/>
        </w:rPr>
        <w:t>(UIC 2013)</w:t>
      </w:r>
      <w:r w:rsidR="004E3CC9" w:rsidRPr="001347F6">
        <w:rPr>
          <w:sz w:val="24"/>
          <w:szCs w:val="24"/>
        </w:rPr>
        <w:fldChar w:fldCharType="begin"/>
      </w:r>
      <w:r w:rsidR="004E3CC9" w:rsidRPr="001347F6">
        <w:rPr>
          <w:sz w:val="24"/>
          <w:szCs w:val="24"/>
        </w:rPr>
        <w:instrText xml:space="preserve"> TA \l "Wojcik, M. </w:instrText>
      </w:r>
      <w:r w:rsidR="004E3CC9" w:rsidRPr="001347F6">
        <w:rPr>
          <w:i/>
          <w:sz w:val="24"/>
          <w:szCs w:val="24"/>
        </w:rPr>
        <w:instrText xml:space="preserve">Consular Notification for Dual Nationals </w:instrText>
      </w:r>
      <w:r w:rsidR="004E3CC9" w:rsidRPr="001347F6">
        <w:rPr>
          <w:sz w:val="24"/>
          <w:szCs w:val="24"/>
        </w:rPr>
        <w:instrText xml:space="preserve">(UIC 2013)" \s "Wojcik, M." \c 6 </w:instrText>
      </w:r>
      <w:r w:rsidR="004E3CC9" w:rsidRPr="001347F6">
        <w:rPr>
          <w:sz w:val="24"/>
          <w:szCs w:val="24"/>
        </w:rPr>
        <w:fldChar w:fldCharType="end"/>
      </w:r>
      <w:r w:rsidRPr="001347F6">
        <w:rPr>
          <w:sz w:val="24"/>
          <w:szCs w:val="24"/>
        </w:rPr>
        <w:t xml:space="preserve"> pp.77</w:t>
      </w:r>
      <w:r w:rsidR="00006534" w:rsidRPr="001347F6">
        <w:rPr>
          <w:sz w:val="24"/>
          <w:szCs w:val="24"/>
        </w:rPr>
        <w:t>.</w:t>
      </w:r>
    </w:p>
    <w:p w14:paraId="18D883BF" w14:textId="77777777" w:rsidR="008C2177" w:rsidRPr="001347F6" w:rsidRDefault="008C2177" w:rsidP="001347F6">
      <w:pPr>
        <w:widowControl/>
        <w:jc w:val="both"/>
        <w:rPr>
          <w:sz w:val="24"/>
          <w:szCs w:val="24"/>
        </w:rPr>
      </w:pPr>
    </w:p>
  </w:footnote>
  <w:footnote w:id="160">
    <w:p w14:paraId="4542EE95" w14:textId="77777777" w:rsidR="008C2177" w:rsidRPr="001347F6" w:rsidRDefault="00000000" w:rsidP="001347F6">
      <w:pPr>
        <w:widowControl/>
        <w:jc w:val="both"/>
        <w:rPr>
          <w:sz w:val="24"/>
          <w:szCs w:val="24"/>
          <w:lang w:val="fr-CA"/>
        </w:rPr>
      </w:pPr>
      <w:r w:rsidRPr="001347F6">
        <w:rPr>
          <w:sz w:val="24"/>
          <w:szCs w:val="24"/>
          <w:vertAlign w:val="superscript"/>
        </w:rPr>
        <w:footnoteRef/>
      </w:r>
      <w:r w:rsidRPr="001347F6">
        <w:rPr>
          <w:sz w:val="24"/>
          <w:szCs w:val="24"/>
          <w:lang w:val="fr-CA"/>
        </w:rPr>
        <w:t xml:space="preserve"> Clarifications, [7].</w:t>
      </w:r>
    </w:p>
    <w:p w14:paraId="33C7ACCF" w14:textId="77777777" w:rsidR="008C2177" w:rsidRPr="001347F6" w:rsidRDefault="008C2177" w:rsidP="001347F6">
      <w:pPr>
        <w:widowControl/>
        <w:jc w:val="both"/>
        <w:rPr>
          <w:sz w:val="24"/>
          <w:szCs w:val="24"/>
          <w:lang w:val="fr-CA"/>
        </w:rPr>
      </w:pPr>
    </w:p>
  </w:footnote>
  <w:footnote w:id="161">
    <w:p w14:paraId="0E3D6382" w14:textId="77777777" w:rsidR="008C2177" w:rsidRPr="001347F6" w:rsidRDefault="00000000" w:rsidP="001347F6">
      <w:pPr>
        <w:widowControl/>
        <w:jc w:val="both"/>
        <w:rPr>
          <w:sz w:val="24"/>
          <w:szCs w:val="24"/>
          <w:lang w:val="fr-CA"/>
        </w:rPr>
      </w:pPr>
      <w:r w:rsidRPr="001347F6">
        <w:rPr>
          <w:sz w:val="24"/>
          <w:szCs w:val="24"/>
          <w:vertAlign w:val="superscript"/>
        </w:rPr>
        <w:footnoteRef/>
      </w:r>
      <w:r w:rsidRPr="001347F6">
        <w:rPr>
          <w:sz w:val="24"/>
          <w:szCs w:val="24"/>
          <w:lang w:val="fr-CA"/>
        </w:rPr>
        <w:t xml:space="preserve"> Clarifications, [8].</w:t>
      </w:r>
    </w:p>
    <w:p w14:paraId="641F31B0" w14:textId="77777777" w:rsidR="008C2177" w:rsidRPr="001347F6" w:rsidRDefault="008C2177" w:rsidP="001347F6">
      <w:pPr>
        <w:widowControl/>
        <w:jc w:val="both"/>
        <w:rPr>
          <w:sz w:val="24"/>
          <w:szCs w:val="24"/>
          <w:lang w:val="fr-CA"/>
        </w:rPr>
      </w:pPr>
    </w:p>
  </w:footnote>
  <w:footnote w:id="162">
    <w:p w14:paraId="1BC2275F" w14:textId="77777777" w:rsidR="008C2177" w:rsidRPr="001347F6" w:rsidRDefault="00000000" w:rsidP="001347F6">
      <w:pPr>
        <w:widowControl/>
        <w:jc w:val="both"/>
        <w:rPr>
          <w:sz w:val="24"/>
          <w:szCs w:val="24"/>
          <w:lang w:val="fr-CA"/>
        </w:rPr>
      </w:pPr>
      <w:r w:rsidRPr="001347F6">
        <w:rPr>
          <w:sz w:val="24"/>
          <w:szCs w:val="24"/>
          <w:vertAlign w:val="superscript"/>
        </w:rPr>
        <w:footnoteRef/>
      </w:r>
      <w:r w:rsidRPr="001347F6">
        <w:rPr>
          <w:sz w:val="24"/>
          <w:szCs w:val="24"/>
          <w:lang w:val="fr-CA"/>
        </w:rPr>
        <w:t xml:space="preserve"> Compromis, [43].</w:t>
      </w:r>
    </w:p>
    <w:p w14:paraId="026D39B6" w14:textId="77777777" w:rsidR="008C2177" w:rsidRPr="001347F6" w:rsidRDefault="008C2177" w:rsidP="001347F6">
      <w:pPr>
        <w:widowControl/>
        <w:jc w:val="both"/>
        <w:rPr>
          <w:sz w:val="24"/>
          <w:szCs w:val="24"/>
          <w:lang w:val="fr-CA"/>
        </w:rPr>
      </w:pPr>
    </w:p>
  </w:footnote>
  <w:footnote w:id="163">
    <w:p w14:paraId="334BB88F" w14:textId="77777777" w:rsidR="008C2177" w:rsidRPr="001347F6" w:rsidRDefault="00000000" w:rsidP="001347F6">
      <w:pPr>
        <w:widowControl/>
        <w:jc w:val="both"/>
        <w:rPr>
          <w:sz w:val="24"/>
          <w:szCs w:val="24"/>
          <w:lang w:val="fr-CA"/>
        </w:rPr>
      </w:pPr>
      <w:r w:rsidRPr="001347F6">
        <w:rPr>
          <w:sz w:val="24"/>
          <w:szCs w:val="24"/>
          <w:vertAlign w:val="superscript"/>
        </w:rPr>
        <w:footnoteRef/>
      </w:r>
      <w:r w:rsidRPr="001347F6">
        <w:rPr>
          <w:sz w:val="24"/>
          <w:szCs w:val="24"/>
          <w:lang w:val="fr-CA"/>
        </w:rPr>
        <w:t xml:space="preserve"> Compromis, [44].</w:t>
      </w:r>
    </w:p>
    <w:p w14:paraId="7AF41DB0" w14:textId="77777777" w:rsidR="008C2177" w:rsidRPr="001347F6" w:rsidRDefault="008C2177" w:rsidP="001347F6">
      <w:pPr>
        <w:widowControl/>
        <w:jc w:val="both"/>
        <w:rPr>
          <w:sz w:val="24"/>
          <w:szCs w:val="24"/>
          <w:lang w:val="fr-CA"/>
        </w:rPr>
      </w:pPr>
    </w:p>
  </w:footnote>
  <w:footnote w:id="164">
    <w:p w14:paraId="0223F4AF" w14:textId="3C6A7E72" w:rsidR="008C2177" w:rsidRPr="001347F6" w:rsidRDefault="00000000" w:rsidP="001347F6">
      <w:pPr>
        <w:widowControl/>
        <w:jc w:val="both"/>
        <w:rPr>
          <w:sz w:val="24"/>
          <w:szCs w:val="24"/>
          <w:lang w:val="fr-CA"/>
        </w:rPr>
      </w:pPr>
      <w:r w:rsidRPr="001347F6">
        <w:rPr>
          <w:sz w:val="24"/>
          <w:szCs w:val="24"/>
          <w:vertAlign w:val="superscript"/>
        </w:rPr>
        <w:footnoteRef/>
      </w:r>
      <w:r w:rsidRPr="001347F6">
        <w:rPr>
          <w:sz w:val="24"/>
          <w:szCs w:val="24"/>
          <w:lang w:val="fr-CA"/>
        </w:rPr>
        <w:t xml:space="preserve"> VCCR</w:t>
      </w:r>
      <w:r w:rsidR="000B5DB7" w:rsidRPr="001347F6">
        <w:rPr>
          <w:sz w:val="24"/>
          <w:szCs w:val="24"/>
          <w:lang w:val="fr-CA"/>
        </w:rPr>
        <w:fldChar w:fldCharType="begin"/>
      </w:r>
      <w:r w:rsidR="000B5DB7" w:rsidRPr="001347F6">
        <w:rPr>
          <w:sz w:val="24"/>
          <w:szCs w:val="24"/>
          <w:lang w:val="fr-CA"/>
        </w:rPr>
        <w:instrText xml:space="preserve"> TA \s "VCCR" </w:instrText>
      </w:r>
      <w:r w:rsidR="000B5DB7" w:rsidRPr="001347F6">
        <w:rPr>
          <w:sz w:val="24"/>
          <w:szCs w:val="24"/>
          <w:lang w:val="fr-CA"/>
        </w:rPr>
        <w:fldChar w:fldCharType="end"/>
      </w:r>
      <w:r w:rsidRPr="001347F6">
        <w:rPr>
          <w:sz w:val="24"/>
          <w:szCs w:val="24"/>
          <w:lang w:val="fr-CA"/>
        </w:rPr>
        <w:t>,</w:t>
      </w:r>
      <w:r w:rsidR="000E212C" w:rsidRPr="001347F6">
        <w:rPr>
          <w:sz w:val="24"/>
          <w:szCs w:val="24"/>
          <w:lang w:val="fr-CA"/>
        </w:rPr>
        <w:t xml:space="preserve"> </w:t>
      </w:r>
      <w:r w:rsidRPr="001347F6">
        <w:rPr>
          <w:sz w:val="24"/>
          <w:szCs w:val="24"/>
          <w:lang w:val="fr-CA"/>
        </w:rPr>
        <w:t>Art 36(2).</w:t>
      </w:r>
    </w:p>
    <w:p w14:paraId="386E87E9" w14:textId="77777777" w:rsidR="008C2177" w:rsidRPr="001347F6" w:rsidRDefault="008C2177" w:rsidP="001347F6">
      <w:pPr>
        <w:widowControl/>
        <w:jc w:val="both"/>
        <w:rPr>
          <w:sz w:val="24"/>
          <w:szCs w:val="24"/>
          <w:lang w:val="fr-CA"/>
        </w:rPr>
      </w:pPr>
    </w:p>
  </w:footnote>
  <w:footnote w:id="165">
    <w:p w14:paraId="0360C12E" w14:textId="140969D7"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ILC, ‘Draft Articles on Consular Relations adopted by the ILC at its Thirteenth Session, Extract from Volume II of the Official Records of the United Nations Conference on Consular Relations’ (4 March – 22 April 1963) UN Doc A/CONF.25/6</w:t>
      </w:r>
      <w:r w:rsidR="004E3CC9" w:rsidRPr="001347F6">
        <w:rPr>
          <w:sz w:val="24"/>
          <w:szCs w:val="24"/>
        </w:rPr>
        <w:fldChar w:fldCharType="begin"/>
      </w:r>
      <w:r w:rsidR="004E3CC9" w:rsidRPr="001347F6">
        <w:rPr>
          <w:sz w:val="24"/>
          <w:szCs w:val="24"/>
        </w:rPr>
        <w:instrText xml:space="preserve"> TA \l "ILC, ‘Draft Articles on Consular Relations adopted by the ILC at its Thirteenth Session, Extract from Volume II of the Official Records of the United Nations Conference on Consular Relations’ (4 March – 22 April 1963) UN Doc A/CONF.25/6" \s "A/CONF.25/6" \c 7 </w:instrText>
      </w:r>
      <w:r w:rsidR="004E3CC9" w:rsidRPr="001347F6">
        <w:rPr>
          <w:sz w:val="24"/>
          <w:szCs w:val="24"/>
        </w:rPr>
        <w:fldChar w:fldCharType="end"/>
      </w:r>
      <w:r w:rsidRPr="001347F6">
        <w:rPr>
          <w:sz w:val="24"/>
          <w:szCs w:val="24"/>
        </w:rPr>
        <w:t xml:space="preserve">, Art 36(2) [5]-[7]. </w:t>
      </w:r>
    </w:p>
    <w:p w14:paraId="31DFA96D" w14:textId="77777777" w:rsidR="008C2177" w:rsidRPr="001347F6" w:rsidRDefault="008C2177" w:rsidP="001347F6">
      <w:pPr>
        <w:widowControl/>
        <w:jc w:val="both"/>
        <w:rPr>
          <w:sz w:val="24"/>
          <w:szCs w:val="24"/>
        </w:rPr>
      </w:pPr>
    </w:p>
  </w:footnote>
  <w:footnote w:id="166">
    <w:p w14:paraId="6C737869" w14:textId="77777777" w:rsidR="008C2177" w:rsidRPr="001347F6" w:rsidRDefault="00000000" w:rsidP="001347F6">
      <w:pPr>
        <w:widowControl/>
        <w:jc w:val="both"/>
        <w:rPr>
          <w:sz w:val="24"/>
          <w:szCs w:val="24"/>
          <w:lang w:val="fr-CA"/>
        </w:rPr>
      </w:pPr>
      <w:r w:rsidRPr="001347F6">
        <w:rPr>
          <w:sz w:val="24"/>
          <w:szCs w:val="24"/>
          <w:vertAlign w:val="superscript"/>
        </w:rPr>
        <w:footnoteRef/>
      </w:r>
      <w:r w:rsidRPr="001347F6">
        <w:rPr>
          <w:sz w:val="24"/>
          <w:szCs w:val="24"/>
          <w:lang w:val="fr-CA"/>
        </w:rPr>
        <w:t xml:space="preserve"> Clarifications, [11].</w:t>
      </w:r>
    </w:p>
    <w:p w14:paraId="24DF4EBB" w14:textId="77777777" w:rsidR="008C2177" w:rsidRPr="001347F6" w:rsidRDefault="008C2177" w:rsidP="001347F6">
      <w:pPr>
        <w:widowControl/>
        <w:jc w:val="both"/>
        <w:rPr>
          <w:sz w:val="24"/>
          <w:szCs w:val="24"/>
          <w:lang w:val="fr-CA"/>
        </w:rPr>
      </w:pPr>
    </w:p>
  </w:footnote>
  <w:footnote w:id="167">
    <w:p w14:paraId="25DC15B5" w14:textId="77777777" w:rsidR="008C2177" w:rsidRPr="001347F6" w:rsidRDefault="00000000" w:rsidP="001347F6">
      <w:pPr>
        <w:widowControl/>
        <w:jc w:val="both"/>
        <w:rPr>
          <w:sz w:val="24"/>
          <w:szCs w:val="24"/>
          <w:lang w:val="fr-CA"/>
        </w:rPr>
      </w:pPr>
      <w:r w:rsidRPr="001347F6">
        <w:rPr>
          <w:sz w:val="24"/>
          <w:szCs w:val="24"/>
          <w:vertAlign w:val="superscript"/>
        </w:rPr>
        <w:footnoteRef/>
      </w:r>
      <w:r w:rsidRPr="001347F6">
        <w:rPr>
          <w:sz w:val="24"/>
          <w:szCs w:val="24"/>
          <w:lang w:val="fr-CA"/>
        </w:rPr>
        <w:t xml:space="preserve"> Compromis, [44].</w:t>
      </w:r>
    </w:p>
    <w:p w14:paraId="073975F5" w14:textId="77777777" w:rsidR="008C2177" w:rsidRPr="001347F6" w:rsidRDefault="008C2177" w:rsidP="001347F6">
      <w:pPr>
        <w:widowControl/>
        <w:jc w:val="both"/>
        <w:rPr>
          <w:sz w:val="24"/>
          <w:szCs w:val="24"/>
          <w:lang w:val="fr-CA"/>
        </w:rPr>
      </w:pPr>
    </w:p>
  </w:footnote>
  <w:footnote w:id="168">
    <w:p w14:paraId="426EEA22" w14:textId="77777777" w:rsidR="008C2177" w:rsidRPr="001347F6" w:rsidRDefault="00000000" w:rsidP="001347F6">
      <w:pPr>
        <w:widowControl/>
        <w:jc w:val="both"/>
        <w:rPr>
          <w:sz w:val="24"/>
          <w:szCs w:val="24"/>
          <w:lang w:val="fr-CA"/>
        </w:rPr>
      </w:pPr>
      <w:r w:rsidRPr="001347F6">
        <w:rPr>
          <w:sz w:val="24"/>
          <w:szCs w:val="24"/>
          <w:vertAlign w:val="superscript"/>
        </w:rPr>
        <w:footnoteRef/>
      </w:r>
      <w:r w:rsidRPr="001347F6">
        <w:rPr>
          <w:sz w:val="24"/>
          <w:szCs w:val="24"/>
          <w:lang w:val="fr-CA"/>
        </w:rPr>
        <w:t xml:space="preserve"> Compromis, [48].</w:t>
      </w:r>
    </w:p>
    <w:p w14:paraId="3418E1AF" w14:textId="77777777" w:rsidR="008C2177" w:rsidRPr="001347F6" w:rsidRDefault="008C2177" w:rsidP="001347F6">
      <w:pPr>
        <w:widowControl/>
        <w:jc w:val="both"/>
        <w:rPr>
          <w:sz w:val="24"/>
          <w:szCs w:val="24"/>
          <w:lang w:val="fr-CA"/>
        </w:rPr>
      </w:pPr>
    </w:p>
  </w:footnote>
  <w:footnote w:id="169">
    <w:p w14:paraId="3996CD6B" w14:textId="77777777" w:rsidR="008C2177" w:rsidRPr="001347F6" w:rsidRDefault="00000000" w:rsidP="001347F6">
      <w:pPr>
        <w:widowControl/>
        <w:jc w:val="both"/>
        <w:rPr>
          <w:sz w:val="24"/>
          <w:szCs w:val="24"/>
          <w:lang w:val="fr-CA"/>
        </w:rPr>
      </w:pPr>
      <w:r w:rsidRPr="001347F6">
        <w:rPr>
          <w:sz w:val="24"/>
          <w:szCs w:val="24"/>
          <w:vertAlign w:val="superscript"/>
        </w:rPr>
        <w:footnoteRef/>
      </w:r>
      <w:r w:rsidRPr="001347F6">
        <w:rPr>
          <w:sz w:val="24"/>
          <w:szCs w:val="24"/>
          <w:lang w:val="fr-CA"/>
        </w:rPr>
        <w:t xml:space="preserve"> Compromis, [58].</w:t>
      </w:r>
    </w:p>
    <w:p w14:paraId="6953495A" w14:textId="77777777" w:rsidR="008C2177" w:rsidRPr="001347F6" w:rsidRDefault="008C2177" w:rsidP="001347F6">
      <w:pPr>
        <w:widowControl/>
        <w:jc w:val="both"/>
        <w:rPr>
          <w:sz w:val="24"/>
          <w:szCs w:val="24"/>
          <w:lang w:val="fr-CA"/>
        </w:rPr>
      </w:pPr>
    </w:p>
  </w:footnote>
  <w:footnote w:id="170">
    <w:p w14:paraId="3B31E679" w14:textId="77777777" w:rsidR="008C2177" w:rsidRPr="001347F6" w:rsidRDefault="00000000" w:rsidP="001347F6">
      <w:pPr>
        <w:jc w:val="both"/>
        <w:rPr>
          <w:sz w:val="24"/>
          <w:szCs w:val="24"/>
          <w:lang w:val="fr-CA"/>
        </w:rPr>
      </w:pPr>
      <w:r w:rsidRPr="001347F6">
        <w:rPr>
          <w:sz w:val="24"/>
          <w:szCs w:val="24"/>
          <w:vertAlign w:val="superscript"/>
        </w:rPr>
        <w:footnoteRef/>
      </w:r>
      <w:r w:rsidRPr="001347F6">
        <w:rPr>
          <w:sz w:val="24"/>
          <w:szCs w:val="24"/>
          <w:lang w:val="fr-CA"/>
        </w:rPr>
        <w:t xml:space="preserve">  Compromis, [49], [52], [56].</w:t>
      </w:r>
    </w:p>
    <w:p w14:paraId="04639590" w14:textId="77777777" w:rsidR="008C2177" w:rsidRPr="001347F6" w:rsidRDefault="008C2177" w:rsidP="001347F6">
      <w:pPr>
        <w:jc w:val="both"/>
        <w:rPr>
          <w:sz w:val="24"/>
          <w:szCs w:val="24"/>
          <w:lang w:val="fr-CA"/>
        </w:rPr>
      </w:pPr>
    </w:p>
  </w:footnote>
  <w:footnote w:id="171">
    <w:p w14:paraId="7B6D7479" w14:textId="6E14F104"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w:t>
      </w:r>
      <w:r w:rsidRPr="001347F6">
        <w:rPr>
          <w:i/>
          <w:sz w:val="24"/>
          <w:szCs w:val="24"/>
        </w:rPr>
        <w:t>Certain Expenses of the United Nations</w:t>
      </w:r>
      <w:r w:rsidRPr="001347F6">
        <w:rPr>
          <w:sz w:val="24"/>
          <w:szCs w:val="24"/>
        </w:rPr>
        <w:t xml:space="preserve"> (Article 17, paragraph 2, of the Charter) (Advisory Opinion) [1962] [‘</w:t>
      </w:r>
      <w:r w:rsidRPr="001347F6">
        <w:rPr>
          <w:i/>
          <w:sz w:val="24"/>
          <w:szCs w:val="24"/>
        </w:rPr>
        <w:t>Certain Expenses’</w:t>
      </w:r>
      <w:r w:rsidRPr="001347F6">
        <w:rPr>
          <w:sz w:val="24"/>
          <w:szCs w:val="24"/>
        </w:rPr>
        <w:t xml:space="preserve">] ICJ Rep </w:t>
      </w:r>
      <w:r w:rsidR="00E83A3F" w:rsidRPr="001347F6">
        <w:rPr>
          <w:sz w:val="24"/>
          <w:szCs w:val="24"/>
        </w:rPr>
        <w:t>168</w:t>
      </w:r>
      <w:r w:rsidR="004E3CC9" w:rsidRPr="001347F6">
        <w:rPr>
          <w:sz w:val="24"/>
          <w:szCs w:val="24"/>
        </w:rPr>
        <w:fldChar w:fldCharType="begin"/>
      </w:r>
      <w:r w:rsidR="004E3CC9" w:rsidRPr="001347F6">
        <w:rPr>
          <w:sz w:val="24"/>
          <w:szCs w:val="24"/>
        </w:rPr>
        <w:instrText xml:space="preserve"> TA \l "</w:instrText>
      </w:r>
      <w:r w:rsidR="004E3CC9" w:rsidRPr="001347F6">
        <w:rPr>
          <w:i/>
          <w:sz w:val="24"/>
          <w:szCs w:val="24"/>
        </w:rPr>
        <w:instrText>Certain Expenses of the United Nations</w:instrText>
      </w:r>
      <w:r w:rsidR="004E3CC9" w:rsidRPr="001347F6">
        <w:rPr>
          <w:sz w:val="24"/>
          <w:szCs w:val="24"/>
        </w:rPr>
        <w:instrText xml:space="preserve"> (Article 17, paragraph 2, of the Charter) (Advisory Opinion) [1962] [‘</w:instrText>
      </w:r>
      <w:r w:rsidR="004E3CC9" w:rsidRPr="001347F6">
        <w:rPr>
          <w:i/>
          <w:sz w:val="24"/>
          <w:szCs w:val="24"/>
        </w:rPr>
        <w:instrText>Certain Expenses’</w:instrText>
      </w:r>
      <w:r w:rsidR="004E3CC9" w:rsidRPr="001347F6">
        <w:rPr>
          <w:sz w:val="24"/>
          <w:szCs w:val="24"/>
        </w:rPr>
        <w:instrText xml:space="preserve">] ICJ Rep </w:instrText>
      </w:r>
      <w:r w:rsidR="00E83A3F" w:rsidRPr="001347F6">
        <w:rPr>
          <w:sz w:val="24"/>
          <w:szCs w:val="24"/>
        </w:rPr>
        <w:instrText>168</w:instrText>
      </w:r>
      <w:r w:rsidR="004E3CC9" w:rsidRPr="001347F6">
        <w:rPr>
          <w:sz w:val="24"/>
          <w:szCs w:val="24"/>
        </w:rPr>
        <w:instrText xml:space="preserve">" \s "Certain Expenses" \c 1 </w:instrText>
      </w:r>
      <w:r w:rsidR="004E3CC9" w:rsidRPr="001347F6">
        <w:rPr>
          <w:sz w:val="24"/>
          <w:szCs w:val="24"/>
        </w:rPr>
        <w:fldChar w:fldCharType="end"/>
      </w:r>
      <w:r w:rsidRPr="001347F6">
        <w:rPr>
          <w:sz w:val="24"/>
          <w:szCs w:val="24"/>
        </w:rPr>
        <w:t xml:space="preserve">, pp. </w:t>
      </w:r>
      <w:r w:rsidR="00764F14" w:rsidRPr="001347F6">
        <w:rPr>
          <w:sz w:val="24"/>
          <w:szCs w:val="24"/>
        </w:rPr>
        <w:t>21</w:t>
      </w:r>
      <w:r w:rsidRPr="001347F6">
        <w:rPr>
          <w:sz w:val="24"/>
          <w:szCs w:val="24"/>
        </w:rPr>
        <w:t xml:space="preserve">; Alipour, M., </w:t>
      </w:r>
      <w:r w:rsidRPr="001347F6">
        <w:rPr>
          <w:i/>
          <w:sz w:val="24"/>
          <w:szCs w:val="24"/>
        </w:rPr>
        <w:t>The competence of the Security Council over situations or disputes arising from human rights violations by a State under Chapter VI of the United Nations Charter</w:t>
      </w:r>
      <w:r w:rsidRPr="001347F6">
        <w:rPr>
          <w:sz w:val="24"/>
          <w:szCs w:val="24"/>
        </w:rPr>
        <w:t xml:space="preserve"> (HJLS 2023)</w:t>
      </w:r>
      <w:r w:rsidR="004E3CC9" w:rsidRPr="001347F6">
        <w:rPr>
          <w:sz w:val="24"/>
          <w:szCs w:val="24"/>
        </w:rPr>
        <w:fldChar w:fldCharType="begin"/>
      </w:r>
      <w:r w:rsidR="004E3CC9" w:rsidRPr="001347F6">
        <w:rPr>
          <w:sz w:val="24"/>
          <w:szCs w:val="24"/>
        </w:rPr>
        <w:instrText xml:space="preserve"> TA \l "Alipour, M., </w:instrText>
      </w:r>
      <w:r w:rsidR="004E3CC9" w:rsidRPr="001347F6">
        <w:rPr>
          <w:i/>
          <w:sz w:val="24"/>
          <w:szCs w:val="24"/>
        </w:rPr>
        <w:instrText>The competence of the Security Council over situations or disputes arising from human rights violations by a State under Chapter VI of the United Nations Charter</w:instrText>
      </w:r>
      <w:r w:rsidR="004E3CC9" w:rsidRPr="001347F6">
        <w:rPr>
          <w:sz w:val="24"/>
          <w:szCs w:val="24"/>
        </w:rPr>
        <w:instrText xml:space="preserve"> (HJLS 2023)" \s "Alipour, M." \c 6 </w:instrText>
      </w:r>
      <w:r w:rsidR="004E3CC9" w:rsidRPr="001347F6">
        <w:rPr>
          <w:sz w:val="24"/>
          <w:szCs w:val="24"/>
        </w:rPr>
        <w:fldChar w:fldCharType="end"/>
      </w:r>
      <w:r w:rsidRPr="001347F6">
        <w:rPr>
          <w:sz w:val="24"/>
          <w:szCs w:val="24"/>
        </w:rPr>
        <w:t xml:space="preserve"> pp. 22-23; United Nations Conference on International Organization (UNCIO) Vol.13, 710, Doc. 9. 33 (IV/2/42/ (2)) June 12, l945</w:t>
      </w:r>
      <w:r w:rsidR="004E3CC9" w:rsidRPr="001347F6">
        <w:rPr>
          <w:sz w:val="24"/>
          <w:szCs w:val="24"/>
        </w:rPr>
        <w:fldChar w:fldCharType="begin"/>
      </w:r>
      <w:r w:rsidR="004E3CC9" w:rsidRPr="001347F6">
        <w:rPr>
          <w:sz w:val="24"/>
          <w:szCs w:val="24"/>
        </w:rPr>
        <w:instrText xml:space="preserve"> TA \l "United Nations Conference on International Organization (UNCIO) Vol.13, 710, Doc. 9. 33 (IV/2/42/ (2)) June 12, l945" \s "United Nations Conference on International Organization (UNCIO) Vol.13, 710, Doc. 9. 33 (IV/2/42/ (2)) June 12, l945" \c 3 </w:instrText>
      </w:r>
      <w:r w:rsidR="004E3CC9" w:rsidRPr="001347F6">
        <w:rPr>
          <w:sz w:val="24"/>
          <w:szCs w:val="24"/>
        </w:rPr>
        <w:fldChar w:fldCharType="end"/>
      </w:r>
      <w:r w:rsidRPr="001347F6">
        <w:rPr>
          <w:sz w:val="24"/>
          <w:szCs w:val="24"/>
        </w:rPr>
        <w:t>.</w:t>
      </w:r>
    </w:p>
    <w:p w14:paraId="311A4AE2" w14:textId="77777777" w:rsidR="008C2177" w:rsidRPr="001347F6" w:rsidRDefault="008C2177" w:rsidP="001347F6">
      <w:pPr>
        <w:widowControl/>
        <w:jc w:val="both"/>
        <w:rPr>
          <w:sz w:val="24"/>
          <w:szCs w:val="24"/>
        </w:rPr>
      </w:pPr>
    </w:p>
  </w:footnote>
  <w:footnote w:id="172">
    <w:p w14:paraId="373A3208" w14:textId="4E9E24D6" w:rsidR="001347F6"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w:t>
      </w:r>
      <w:r w:rsidRPr="001347F6">
        <w:rPr>
          <w:i/>
          <w:sz w:val="24"/>
          <w:szCs w:val="24"/>
        </w:rPr>
        <w:t>Certain Expenses</w:t>
      </w:r>
      <w:r w:rsidR="004E3CC9" w:rsidRPr="001347F6">
        <w:rPr>
          <w:i/>
          <w:sz w:val="24"/>
          <w:szCs w:val="24"/>
        </w:rPr>
        <w:fldChar w:fldCharType="begin"/>
      </w:r>
      <w:r w:rsidR="004E3CC9" w:rsidRPr="001347F6">
        <w:rPr>
          <w:i/>
          <w:sz w:val="24"/>
          <w:szCs w:val="24"/>
        </w:rPr>
        <w:instrText xml:space="preserve"> TA \s "Certain Expenses" </w:instrText>
      </w:r>
      <w:r w:rsidR="004E3CC9" w:rsidRPr="001347F6">
        <w:rPr>
          <w:i/>
          <w:sz w:val="24"/>
          <w:szCs w:val="24"/>
        </w:rPr>
        <w:fldChar w:fldCharType="end"/>
      </w:r>
      <w:r w:rsidRPr="001347F6">
        <w:rPr>
          <w:sz w:val="24"/>
          <w:szCs w:val="24"/>
        </w:rPr>
        <w:t xml:space="preserve">, pp. </w:t>
      </w:r>
      <w:r w:rsidR="00764F14" w:rsidRPr="001347F6">
        <w:rPr>
          <w:sz w:val="24"/>
          <w:szCs w:val="24"/>
        </w:rPr>
        <w:t>21</w:t>
      </w:r>
      <w:r w:rsidRPr="001347F6">
        <w:rPr>
          <w:sz w:val="24"/>
          <w:szCs w:val="24"/>
        </w:rPr>
        <w:t>.</w:t>
      </w:r>
    </w:p>
  </w:footnote>
  <w:footnote w:id="173">
    <w:p w14:paraId="3EA032F5" w14:textId="09E17175"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Charter of the United Nations (adopted 26 June 1945, entered into force 24 October 1945) 1 UNTS. XVI [‘UN Charter’</w:t>
      </w:r>
      <w:r w:rsidR="00150089" w:rsidRPr="001347F6">
        <w:rPr>
          <w:sz w:val="24"/>
          <w:szCs w:val="24"/>
        </w:rPr>
        <w:t>]</w:t>
      </w:r>
      <w:r w:rsidR="000B5DB7" w:rsidRPr="001347F6">
        <w:rPr>
          <w:sz w:val="24"/>
          <w:szCs w:val="24"/>
        </w:rPr>
        <w:fldChar w:fldCharType="begin"/>
      </w:r>
      <w:r w:rsidR="000B5DB7" w:rsidRPr="001347F6">
        <w:rPr>
          <w:sz w:val="24"/>
          <w:szCs w:val="24"/>
        </w:rPr>
        <w:instrText xml:space="preserve"> TA \s "UN Charter" </w:instrText>
      </w:r>
      <w:r w:rsidR="000B5DB7" w:rsidRPr="001347F6">
        <w:rPr>
          <w:sz w:val="24"/>
          <w:szCs w:val="24"/>
        </w:rPr>
        <w:fldChar w:fldCharType="end"/>
      </w:r>
      <w:r w:rsidRPr="001347F6">
        <w:rPr>
          <w:sz w:val="24"/>
          <w:szCs w:val="24"/>
        </w:rPr>
        <w:t>, Art 34;</w:t>
      </w:r>
      <w:r w:rsidR="00764F14" w:rsidRPr="001347F6">
        <w:rPr>
          <w:sz w:val="24"/>
          <w:szCs w:val="24"/>
        </w:rPr>
        <w:t xml:space="preserve"> Schweisfurth, T., Ch.VI Pacific Settlement of Disputes - Article 34 in Bruno Simma, Daniel-Erasmus Khan, Georg Nolte, Andreas Paulus, Nikolai Wessendorf (eds), ‘The Charter of the United Nations: A Commentary, Volume I (3rd Edition)’ (MPEPIL 2012</w:t>
      </w:r>
      <w:r w:rsidR="00764F14" w:rsidRPr="001347F6">
        <w:rPr>
          <w:sz w:val="24"/>
          <w:szCs w:val="24"/>
        </w:rPr>
        <w:t>)</w:t>
      </w:r>
      <w:r w:rsidR="00764F14" w:rsidRPr="001347F6">
        <w:rPr>
          <w:sz w:val="24"/>
          <w:szCs w:val="24"/>
        </w:rPr>
        <w:fldChar w:fldCharType="begin"/>
      </w:r>
      <w:r w:rsidR="00764F14" w:rsidRPr="001347F6">
        <w:rPr>
          <w:sz w:val="24"/>
          <w:szCs w:val="24"/>
        </w:rPr>
        <w:instrText xml:space="preserve"> TA \l "</w:instrText>
      </w:r>
      <w:r w:rsidR="00764F14" w:rsidRPr="001347F6">
        <w:rPr>
          <w:sz w:val="24"/>
          <w:szCs w:val="24"/>
        </w:rPr>
        <w:instrText>Schweisfurth, T., Ch.VI Pacific Settlement of Disputes - Article 34 in Bruno Simma, Daniel-Erasmus Khan, Georg Nolte, Andreas Paulus, Nikolai Wessendorf (eds), ‘The Charter of the United Nations: A Commentary, Volume I (3rd Edition)’ (MPEPIL 2012</w:instrText>
      </w:r>
      <w:r w:rsidR="00764F14" w:rsidRPr="001347F6">
        <w:rPr>
          <w:sz w:val="24"/>
          <w:szCs w:val="24"/>
        </w:rPr>
        <w:instrText xml:space="preserve">)" \s "Schweisfurth, T." \c 6 </w:instrText>
      </w:r>
      <w:r w:rsidR="00764F14" w:rsidRPr="001347F6">
        <w:rPr>
          <w:sz w:val="24"/>
          <w:szCs w:val="24"/>
        </w:rPr>
        <w:fldChar w:fldCharType="end"/>
      </w:r>
      <w:r w:rsidR="00764F14" w:rsidRPr="001347F6">
        <w:rPr>
          <w:sz w:val="24"/>
          <w:szCs w:val="24"/>
        </w:rPr>
        <w:t>, pp. 1081</w:t>
      </w:r>
      <w:r w:rsidRPr="001347F6">
        <w:rPr>
          <w:sz w:val="24"/>
          <w:szCs w:val="24"/>
        </w:rPr>
        <w:t xml:space="preserve"> [4]-[6].</w:t>
      </w:r>
    </w:p>
    <w:p w14:paraId="22CFB5D3" w14:textId="77777777" w:rsidR="008C2177" w:rsidRPr="001347F6" w:rsidRDefault="008C2177" w:rsidP="001347F6">
      <w:pPr>
        <w:widowControl/>
        <w:jc w:val="both"/>
        <w:rPr>
          <w:sz w:val="24"/>
          <w:szCs w:val="24"/>
        </w:rPr>
      </w:pPr>
    </w:p>
  </w:footnote>
  <w:footnote w:id="174">
    <w:p w14:paraId="157F2ACF" w14:textId="56A1C49D"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UN Charter</w:t>
      </w:r>
      <w:r w:rsidR="000B5DB7" w:rsidRPr="001347F6">
        <w:rPr>
          <w:sz w:val="24"/>
          <w:szCs w:val="24"/>
        </w:rPr>
        <w:fldChar w:fldCharType="begin"/>
      </w:r>
      <w:r w:rsidR="000B5DB7" w:rsidRPr="001347F6">
        <w:rPr>
          <w:sz w:val="24"/>
          <w:szCs w:val="24"/>
        </w:rPr>
        <w:instrText xml:space="preserve"> TA \s "UN Charter" </w:instrText>
      </w:r>
      <w:r w:rsidR="000B5DB7" w:rsidRPr="001347F6">
        <w:rPr>
          <w:sz w:val="24"/>
          <w:szCs w:val="24"/>
        </w:rPr>
        <w:fldChar w:fldCharType="end"/>
      </w:r>
      <w:r w:rsidRPr="001347F6">
        <w:rPr>
          <w:sz w:val="24"/>
          <w:szCs w:val="24"/>
        </w:rPr>
        <w:t>,</w:t>
      </w:r>
      <w:r w:rsidR="00150089" w:rsidRPr="001347F6">
        <w:rPr>
          <w:sz w:val="24"/>
          <w:szCs w:val="24"/>
        </w:rPr>
        <w:t xml:space="preserve"> </w:t>
      </w:r>
      <w:r w:rsidRPr="001347F6">
        <w:rPr>
          <w:sz w:val="24"/>
          <w:szCs w:val="24"/>
        </w:rPr>
        <w:t xml:space="preserve">Art 2 (7); </w:t>
      </w:r>
      <w:r w:rsidRPr="001347F6">
        <w:rPr>
          <w:i/>
          <w:sz w:val="24"/>
          <w:szCs w:val="24"/>
        </w:rPr>
        <w:t xml:space="preserve">Questions of Interpretation and Application of the 1971 Montreal Convention arising from the Aerial Incident at Lockerbie (Libyan Arab Jamahiriya v. USA) </w:t>
      </w:r>
      <w:r w:rsidRPr="001347F6">
        <w:rPr>
          <w:sz w:val="24"/>
          <w:szCs w:val="24"/>
        </w:rPr>
        <w:t xml:space="preserve">(Dissenting Opinion by Judge Weeramantry) [1992] ICJ Rep </w:t>
      </w:r>
      <w:r w:rsidR="00E83A3F" w:rsidRPr="001347F6">
        <w:rPr>
          <w:sz w:val="24"/>
          <w:szCs w:val="24"/>
        </w:rPr>
        <w:t>65</w:t>
      </w:r>
      <w:r w:rsidR="00475ED7" w:rsidRPr="001347F6">
        <w:rPr>
          <w:sz w:val="24"/>
          <w:szCs w:val="24"/>
        </w:rPr>
        <w:fldChar w:fldCharType="begin"/>
      </w:r>
      <w:r w:rsidR="00475ED7" w:rsidRPr="001347F6">
        <w:rPr>
          <w:sz w:val="24"/>
          <w:szCs w:val="24"/>
        </w:rPr>
        <w:instrText xml:space="preserve"> TA \l "</w:instrText>
      </w:r>
      <w:r w:rsidR="00475ED7" w:rsidRPr="001347F6">
        <w:rPr>
          <w:i/>
          <w:sz w:val="24"/>
          <w:szCs w:val="24"/>
        </w:rPr>
        <w:instrText xml:space="preserve">Questions of Interpretation and Application of the 1971 Montreal Convention arising from the Aerial Incident at Lockerbie (Libyan Arab Jamahiriya v. USA) </w:instrText>
      </w:r>
      <w:r w:rsidR="00475ED7" w:rsidRPr="001347F6">
        <w:rPr>
          <w:sz w:val="24"/>
          <w:szCs w:val="24"/>
        </w:rPr>
        <w:instrText xml:space="preserve">(Dissenting Opinion by Judge Weeramantry) [1992] ICJ Rep </w:instrText>
      </w:r>
      <w:r w:rsidR="00E83A3F" w:rsidRPr="001347F6">
        <w:rPr>
          <w:sz w:val="24"/>
          <w:szCs w:val="24"/>
        </w:rPr>
        <w:instrText>65</w:instrText>
      </w:r>
      <w:r w:rsidR="00475ED7" w:rsidRPr="001347F6">
        <w:rPr>
          <w:sz w:val="24"/>
          <w:szCs w:val="24"/>
        </w:rPr>
        <w:instrText xml:space="preserve">" \s "Questions of Interpretation and Application of the 1971 Montreal Convention arising from the Aerial Incident at Lockerbie" \c 1 </w:instrText>
      </w:r>
      <w:r w:rsidR="00475ED7" w:rsidRPr="001347F6">
        <w:rPr>
          <w:sz w:val="24"/>
          <w:szCs w:val="24"/>
        </w:rPr>
        <w:fldChar w:fldCharType="end"/>
      </w:r>
      <w:r w:rsidRPr="001347F6">
        <w:rPr>
          <w:sz w:val="24"/>
          <w:szCs w:val="24"/>
        </w:rPr>
        <w:t>, pp. 66.</w:t>
      </w:r>
    </w:p>
    <w:p w14:paraId="4A9A01CB" w14:textId="77777777" w:rsidR="008C2177" w:rsidRPr="001347F6" w:rsidRDefault="008C2177" w:rsidP="001347F6">
      <w:pPr>
        <w:widowControl/>
        <w:jc w:val="both"/>
        <w:rPr>
          <w:sz w:val="24"/>
          <w:szCs w:val="24"/>
        </w:rPr>
      </w:pPr>
    </w:p>
  </w:footnote>
  <w:footnote w:id="175">
    <w:p w14:paraId="1143A43D" w14:textId="7D82E1FE"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w:t>
      </w:r>
      <w:r w:rsidR="001D6590" w:rsidRPr="001347F6">
        <w:rPr>
          <w:i/>
          <w:iCs/>
          <w:sz w:val="24"/>
          <w:szCs w:val="24"/>
        </w:rPr>
        <w:t>Memorial</w:t>
      </w:r>
      <w:r w:rsidR="001D6590" w:rsidRPr="001347F6">
        <w:rPr>
          <w:sz w:val="24"/>
          <w:szCs w:val="24"/>
        </w:rPr>
        <w:t>, I.B.</w:t>
      </w:r>
    </w:p>
    <w:p w14:paraId="6B006351" w14:textId="77777777" w:rsidR="008C2177" w:rsidRPr="001347F6" w:rsidRDefault="008C2177" w:rsidP="001347F6">
      <w:pPr>
        <w:widowControl/>
        <w:jc w:val="both"/>
        <w:rPr>
          <w:sz w:val="24"/>
          <w:szCs w:val="24"/>
        </w:rPr>
      </w:pPr>
    </w:p>
  </w:footnote>
  <w:footnote w:id="176">
    <w:p w14:paraId="08EF0C3F" w14:textId="718E04F0" w:rsidR="008C2177" w:rsidRPr="001347F6" w:rsidRDefault="00000000" w:rsidP="001347F6">
      <w:pPr>
        <w:widowControl/>
        <w:jc w:val="both"/>
        <w:rPr>
          <w:sz w:val="24"/>
          <w:szCs w:val="24"/>
        </w:rPr>
      </w:pPr>
      <w:r w:rsidRPr="001347F6">
        <w:rPr>
          <w:sz w:val="24"/>
          <w:szCs w:val="24"/>
          <w:vertAlign w:val="superscript"/>
        </w:rPr>
        <w:footnoteRef/>
      </w:r>
      <w:r w:rsidR="0011467F" w:rsidRPr="001347F6">
        <w:rPr>
          <w:i/>
          <w:sz w:val="24"/>
          <w:szCs w:val="24"/>
        </w:rPr>
        <w:t xml:space="preserve"> </w:t>
      </w:r>
      <w:r w:rsidRPr="001347F6">
        <w:rPr>
          <w:i/>
          <w:sz w:val="24"/>
          <w:szCs w:val="24"/>
        </w:rPr>
        <w:t>Case of expelled Dominicans and Haitians v. Dominican Republic</w:t>
      </w:r>
      <w:r w:rsidRPr="001347F6">
        <w:rPr>
          <w:sz w:val="24"/>
          <w:szCs w:val="24"/>
        </w:rPr>
        <w:t xml:space="preserve"> (Preliminary Objections, Merits, Reparations, and Costs) IACtHR Series C No. 282 (28 August 2014)</w:t>
      </w:r>
      <w:r w:rsidR="0011467F" w:rsidRPr="001347F6">
        <w:rPr>
          <w:sz w:val="24"/>
          <w:szCs w:val="24"/>
        </w:rPr>
        <w:fldChar w:fldCharType="begin"/>
      </w:r>
      <w:r w:rsidR="0011467F" w:rsidRPr="001347F6">
        <w:rPr>
          <w:sz w:val="24"/>
          <w:szCs w:val="24"/>
        </w:rPr>
        <w:instrText xml:space="preserve"> TA \l "</w:instrText>
      </w:r>
      <w:r w:rsidR="0011467F" w:rsidRPr="001347F6">
        <w:rPr>
          <w:i/>
          <w:sz w:val="24"/>
          <w:szCs w:val="24"/>
        </w:rPr>
        <w:instrText>Case of expelled Dominicans and Haitians v. Dominican Republic</w:instrText>
      </w:r>
      <w:r w:rsidR="0011467F" w:rsidRPr="001347F6">
        <w:rPr>
          <w:sz w:val="24"/>
          <w:szCs w:val="24"/>
        </w:rPr>
        <w:instrText xml:space="preserve"> (Preliminary Objections, Merits, Reparations, and Costs) IACtHR Series C No. 282 (28 August 2014)" \s "Case of expelled Dominicans and Haitians v. Dominican Republic" \c 4 </w:instrText>
      </w:r>
      <w:r w:rsidR="0011467F" w:rsidRPr="001347F6">
        <w:rPr>
          <w:sz w:val="24"/>
          <w:szCs w:val="24"/>
        </w:rPr>
        <w:fldChar w:fldCharType="end"/>
      </w:r>
      <w:r w:rsidRPr="001347F6">
        <w:rPr>
          <w:sz w:val="24"/>
          <w:szCs w:val="24"/>
        </w:rPr>
        <w:t xml:space="preserve"> [253]; Ziegler, K</w:t>
      </w:r>
      <w:r w:rsidR="0011467F" w:rsidRPr="001347F6">
        <w:rPr>
          <w:sz w:val="24"/>
          <w:szCs w:val="24"/>
        </w:rPr>
        <w:t>.,</w:t>
      </w:r>
      <w:r w:rsidRPr="001347F6">
        <w:rPr>
          <w:sz w:val="24"/>
          <w:szCs w:val="24"/>
        </w:rPr>
        <w:t xml:space="preserve"> </w:t>
      </w:r>
      <w:r w:rsidRPr="001347F6">
        <w:rPr>
          <w:i/>
          <w:sz w:val="24"/>
          <w:szCs w:val="24"/>
        </w:rPr>
        <w:t xml:space="preserve">Domaine Réservé </w:t>
      </w:r>
      <w:r w:rsidRPr="001347F6">
        <w:rPr>
          <w:sz w:val="24"/>
          <w:szCs w:val="24"/>
        </w:rPr>
        <w:t>(MPIL 2013)</w:t>
      </w:r>
      <w:r w:rsidR="0011467F" w:rsidRPr="001347F6">
        <w:rPr>
          <w:sz w:val="24"/>
          <w:szCs w:val="24"/>
        </w:rPr>
        <w:fldChar w:fldCharType="begin"/>
      </w:r>
      <w:r w:rsidR="0011467F" w:rsidRPr="001347F6">
        <w:rPr>
          <w:sz w:val="24"/>
          <w:szCs w:val="24"/>
        </w:rPr>
        <w:instrText xml:space="preserve"> TA \l "Ziegler, K., </w:instrText>
      </w:r>
      <w:r w:rsidR="0011467F" w:rsidRPr="001347F6">
        <w:rPr>
          <w:i/>
          <w:sz w:val="24"/>
          <w:szCs w:val="24"/>
        </w:rPr>
        <w:instrText xml:space="preserve">Domaine Réservé </w:instrText>
      </w:r>
      <w:r w:rsidR="0011467F" w:rsidRPr="001347F6">
        <w:rPr>
          <w:sz w:val="24"/>
          <w:szCs w:val="24"/>
        </w:rPr>
        <w:instrText xml:space="preserve">(MPIL 2013)" \s "Ziegler, K." \c 6 </w:instrText>
      </w:r>
      <w:r w:rsidR="0011467F" w:rsidRPr="001347F6">
        <w:rPr>
          <w:sz w:val="24"/>
          <w:szCs w:val="24"/>
        </w:rPr>
        <w:fldChar w:fldCharType="end"/>
      </w:r>
      <w:r w:rsidRPr="001347F6">
        <w:rPr>
          <w:sz w:val="24"/>
          <w:szCs w:val="24"/>
        </w:rPr>
        <w:t xml:space="preserve"> pp. </w:t>
      </w:r>
      <w:r w:rsidR="00152651" w:rsidRPr="001347F6">
        <w:rPr>
          <w:sz w:val="24"/>
          <w:szCs w:val="24"/>
        </w:rPr>
        <w:t>2; Petropavlovskis</w:t>
      </w:r>
      <w:r w:rsidRPr="001347F6">
        <w:rPr>
          <w:i/>
          <w:sz w:val="24"/>
          <w:szCs w:val="24"/>
          <w:highlight w:val="white"/>
        </w:rPr>
        <w:t xml:space="preserve"> v. Latvia</w:t>
      </w:r>
      <w:r w:rsidR="0008059B" w:rsidRPr="001347F6">
        <w:rPr>
          <w:i/>
          <w:sz w:val="24"/>
          <w:szCs w:val="24"/>
          <w:highlight w:val="white"/>
        </w:rPr>
        <w:fldChar w:fldCharType="begin"/>
      </w:r>
      <w:r w:rsidR="0008059B" w:rsidRPr="001347F6">
        <w:rPr>
          <w:i/>
          <w:sz w:val="24"/>
          <w:szCs w:val="24"/>
          <w:highlight w:val="white"/>
        </w:rPr>
        <w:instrText xml:space="preserve"> TA \s "Petropavlovskis v. Latvia" </w:instrText>
      </w:r>
      <w:r w:rsidR="0008059B" w:rsidRPr="001347F6">
        <w:rPr>
          <w:i/>
          <w:sz w:val="24"/>
          <w:szCs w:val="24"/>
          <w:highlight w:val="white"/>
        </w:rPr>
        <w:fldChar w:fldCharType="end"/>
      </w:r>
      <w:r w:rsidRPr="001347F6">
        <w:rPr>
          <w:sz w:val="24"/>
          <w:szCs w:val="24"/>
        </w:rPr>
        <w:t xml:space="preserve"> [42]</w:t>
      </w:r>
      <w:r w:rsidR="001D6590" w:rsidRPr="001347F6">
        <w:rPr>
          <w:sz w:val="24"/>
          <w:szCs w:val="24"/>
        </w:rPr>
        <w:t>;</w:t>
      </w:r>
      <w:r w:rsidR="001D6590" w:rsidRPr="001347F6">
        <w:rPr>
          <w:i/>
          <w:sz w:val="24"/>
          <w:szCs w:val="24"/>
        </w:rPr>
        <w:t xml:space="preserve"> </w:t>
      </w:r>
      <w:r w:rsidR="001D6590" w:rsidRPr="001347F6">
        <w:rPr>
          <w:i/>
          <w:sz w:val="24"/>
          <w:szCs w:val="24"/>
        </w:rPr>
        <w:t xml:space="preserve">Case of the Girls Yean and Bosico v. Dominican Republic </w:t>
      </w:r>
      <w:r w:rsidR="001D6590" w:rsidRPr="001347F6">
        <w:rPr>
          <w:sz w:val="24"/>
          <w:szCs w:val="24"/>
        </w:rPr>
        <w:t>(Preliminary Objections, Merits, Reparations, and Costs) IACtHR Series C No. 130 (8 September 2005)</w:t>
      </w:r>
      <w:r w:rsidR="001D6590" w:rsidRPr="001347F6">
        <w:rPr>
          <w:sz w:val="24"/>
          <w:szCs w:val="24"/>
        </w:rPr>
        <w:fldChar w:fldCharType="begin"/>
      </w:r>
      <w:r w:rsidR="001D6590" w:rsidRPr="001347F6">
        <w:rPr>
          <w:sz w:val="24"/>
          <w:szCs w:val="24"/>
        </w:rPr>
        <w:instrText xml:space="preserve"> TA \l "</w:instrText>
      </w:r>
      <w:r w:rsidR="001D6590" w:rsidRPr="001347F6">
        <w:rPr>
          <w:i/>
          <w:sz w:val="24"/>
          <w:szCs w:val="24"/>
        </w:rPr>
        <w:instrText xml:space="preserve">Case of the Girls Yean and Bosico v. Dominican Republic </w:instrText>
      </w:r>
      <w:r w:rsidR="001D6590" w:rsidRPr="001347F6">
        <w:rPr>
          <w:sz w:val="24"/>
          <w:szCs w:val="24"/>
        </w:rPr>
        <w:instrText xml:space="preserve">(Preliminary Objections, Merits, Reparations, and Costs) IACtHR Series C No. 130 (8 September 2005)" \s "Case of the Girls Yean and Bosico v. Dominican Republic" \c 4 </w:instrText>
      </w:r>
      <w:r w:rsidR="001D6590" w:rsidRPr="001347F6">
        <w:rPr>
          <w:sz w:val="24"/>
          <w:szCs w:val="24"/>
        </w:rPr>
        <w:fldChar w:fldCharType="end"/>
      </w:r>
      <w:r w:rsidR="001D6590" w:rsidRPr="001347F6">
        <w:rPr>
          <w:sz w:val="24"/>
          <w:szCs w:val="24"/>
        </w:rPr>
        <w:t xml:space="preserve"> [136]; </w:t>
      </w:r>
      <w:r w:rsidR="001D6590" w:rsidRPr="001347F6">
        <w:rPr>
          <w:i/>
          <w:sz w:val="24"/>
          <w:szCs w:val="24"/>
        </w:rPr>
        <w:t>IACtHR</w:t>
      </w:r>
      <w:r w:rsidR="001D6590" w:rsidRPr="001347F6">
        <w:rPr>
          <w:sz w:val="24"/>
          <w:szCs w:val="24"/>
        </w:rPr>
        <w:t xml:space="preserve"> </w:t>
      </w:r>
      <w:r w:rsidR="001D6590" w:rsidRPr="001347F6">
        <w:rPr>
          <w:i/>
          <w:sz w:val="24"/>
          <w:szCs w:val="24"/>
          <w:highlight w:val="white"/>
        </w:rPr>
        <w:t>OC-4/84</w:t>
      </w:r>
      <w:r w:rsidR="001D6590" w:rsidRPr="001347F6">
        <w:rPr>
          <w:i/>
          <w:sz w:val="24"/>
          <w:szCs w:val="24"/>
          <w:highlight w:val="white"/>
        </w:rPr>
        <w:fldChar w:fldCharType="begin"/>
      </w:r>
      <w:r w:rsidR="001D6590" w:rsidRPr="001347F6">
        <w:rPr>
          <w:i/>
          <w:sz w:val="24"/>
          <w:szCs w:val="24"/>
          <w:highlight w:val="white"/>
        </w:rPr>
        <w:instrText xml:space="preserve"> TA \s "IACtHR OC-4/84" </w:instrText>
      </w:r>
      <w:r w:rsidR="001D6590" w:rsidRPr="001347F6">
        <w:rPr>
          <w:i/>
          <w:sz w:val="24"/>
          <w:szCs w:val="24"/>
          <w:highlight w:val="white"/>
        </w:rPr>
        <w:fldChar w:fldCharType="end"/>
      </w:r>
      <w:r w:rsidR="001D6590" w:rsidRPr="001347F6">
        <w:rPr>
          <w:sz w:val="24"/>
          <w:szCs w:val="24"/>
          <w:highlight w:val="white"/>
        </w:rPr>
        <w:t xml:space="preserve"> </w:t>
      </w:r>
      <w:r w:rsidR="001D6590" w:rsidRPr="001347F6">
        <w:rPr>
          <w:sz w:val="24"/>
          <w:szCs w:val="24"/>
        </w:rPr>
        <w:t>[</w:t>
      </w:r>
      <w:r w:rsidR="00E83A3F" w:rsidRPr="001347F6">
        <w:rPr>
          <w:sz w:val="24"/>
          <w:szCs w:val="24"/>
        </w:rPr>
        <w:t>32</w:t>
      </w:r>
      <w:r w:rsidR="001D6590" w:rsidRPr="001347F6">
        <w:rPr>
          <w:sz w:val="24"/>
          <w:szCs w:val="24"/>
        </w:rPr>
        <w:t>]</w:t>
      </w:r>
      <w:r w:rsidR="001D6590" w:rsidRPr="001347F6">
        <w:rPr>
          <w:sz w:val="24"/>
          <w:szCs w:val="24"/>
        </w:rPr>
        <w:t>.</w:t>
      </w:r>
    </w:p>
    <w:p w14:paraId="55B57D11" w14:textId="77777777" w:rsidR="008C2177" w:rsidRPr="001347F6" w:rsidRDefault="008C2177" w:rsidP="001347F6">
      <w:pPr>
        <w:widowControl/>
        <w:jc w:val="both"/>
        <w:rPr>
          <w:sz w:val="24"/>
          <w:szCs w:val="24"/>
        </w:rPr>
      </w:pPr>
    </w:p>
  </w:footnote>
  <w:footnote w:id="177">
    <w:p w14:paraId="2E8BC726" w14:textId="5A74EF84" w:rsidR="008C2177" w:rsidRPr="001347F6" w:rsidRDefault="00000000" w:rsidP="001347F6">
      <w:pPr>
        <w:jc w:val="both"/>
        <w:rPr>
          <w:sz w:val="24"/>
          <w:szCs w:val="24"/>
        </w:rPr>
      </w:pPr>
      <w:r w:rsidRPr="001347F6">
        <w:rPr>
          <w:sz w:val="24"/>
          <w:szCs w:val="24"/>
          <w:vertAlign w:val="superscript"/>
        </w:rPr>
        <w:footnoteRef/>
      </w:r>
      <w:r w:rsidR="00F62BB5" w:rsidRPr="001347F6">
        <w:rPr>
          <w:sz w:val="24"/>
          <w:szCs w:val="24"/>
        </w:rPr>
        <w:t xml:space="preserve"> </w:t>
      </w:r>
      <w:r w:rsidRPr="001347F6">
        <w:rPr>
          <w:sz w:val="24"/>
          <w:szCs w:val="24"/>
        </w:rPr>
        <w:t>HRC, ‘The right to a nationality: equality in nationality rights in law and in practice’ (</w:t>
      </w:r>
      <w:r w:rsidRPr="001347F6">
        <w:rPr>
          <w:sz w:val="24"/>
          <w:szCs w:val="24"/>
          <w:highlight w:val="white"/>
        </w:rPr>
        <w:t>13 July 2023</w:t>
      </w:r>
      <w:r w:rsidRPr="001347F6">
        <w:rPr>
          <w:sz w:val="24"/>
          <w:szCs w:val="24"/>
        </w:rPr>
        <w:t>) UN Doc A/HRC/RES/53/16</w:t>
      </w:r>
      <w:r w:rsidR="0011467F" w:rsidRPr="001347F6">
        <w:rPr>
          <w:sz w:val="24"/>
          <w:szCs w:val="24"/>
        </w:rPr>
        <w:fldChar w:fldCharType="begin"/>
      </w:r>
      <w:r w:rsidR="0011467F" w:rsidRPr="001347F6">
        <w:rPr>
          <w:sz w:val="24"/>
          <w:szCs w:val="24"/>
        </w:rPr>
        <w:instrText xml:space="preserve"> TA \l "HRC, ‘The right to a nationality: equality in nationality rights in law and in practice’ (</w:instrText>
      </w:r>
      <w:r w:rsidR="0011467F" w:rsidRPr="001347F6">
        <w:rPr>
          <w:sz w:val="24"/>
          <w:szCs w:val="24"/>
          <w:highlight w:val="white"/>
        </w:rPr>
        <w:instrText>13 July 2023</w:instrText>
      </w:r>
      <w:r w:rsidR="0011467F" w:rsidRPr="001347F6">
        <w:rPr>
          <w:sz w:val="24"/>
          <w:szCs w:val="24"/>
        </w:rPr>
        <w:instrText xml:space="preserve">) UN Doc A/HRC/RES/53/16" \s "A/HRC/RES/53/16" \c 3 </w:instrText>
      </w:r>
      <w:r w:rsidR="0011467F" w:rsidRPr="001347F6">
        <w:rPr>
          <w:sz w:val="24"/>
          <w:szCs w:val="24"/>
        </w:rPr>
        <w:fldChar w:fldCharType="end"/>
      </w:r>
      <w:r w:rsidRPr="001347F6">
        <w:rPr>
          <w:sz w:val="24"/>
          <w:szCs w:val="24"/>
        </w:rPr>
        <w:t>.</w:t>
      </w:r>
    </w:p>
    <w:p w14:paraId="4363CBB4" w14:textId="77777777" w:rsidR="008C2177" w:rsidRPr="001347F6" w:rsidRDefault="008C2177" w:rsidP="001347F6">
      <w:pPr>
        <w:jc w:val="both"/>
        <w:rPr>
          <w:sz w:val="24"/>
          <w:szCs w:val="24"/>
        </w:rPr>
      </w:pPr>
    </w:p>
  </w:footnote>
  <w:footnote w:id="178">
    <w:p w14:paraId="1E7858A6" w14:textId="142562F4" w:rsid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Compromis, </w:t>
      </w:r>
      <w:r w:rsidR="00204F74">
        <w:rPr>
          <w:sz w:val="24"/>
          <w:szCs w:val="24"/>
        </w:rPr>
        <w:t>Annex A</w:t>
      </w:r>
      <w:r w:rsidRPr="001347F6">
        <w:rPr>
          <w:sz w:val="24"/>
          <w:szCs w:val="24"/>
        </w:rPr>
        <w:t>.</w:t>
      </w:r>
    </w:p>
    <w:p w14:paraId="767D2DE4" w14:textId="77777777" w:rsidR="001347F6" w:rsidRDefault="001347F6" w:rsidP="001347F6">
      <w:pPr>
        <w:widowControl/>
        <w:jc w:val="both"/>
        <w:rPr>
          <w:sz w:val="24"/>
          <w:szCs w:val="24"/>
        </w:rPr>
      </w:pPr>
    </w:p>
    <w:p w14:paraId="004501F8" w14:textId="77777777" w:rsidR="001347F6" w:rsidRPr="001347F6" w:rsidRDefault="001347F6" w:rsidP="001347F6">
      <w:pPr>
        <w:widowControl/>
        <w:jc w:val="both"/>
        <w:rPr>
          <w:sz w:val="24"/>
          <w:szCs w:val="24"/>
        </w:rPr>
      </w:pPr>
    </w:p>
  </w:footnote>
  <w:footnote w:id="179">
    <w:p w14:paraId="6B4A9737" w14:textId="4CFF7C2F"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Convention on Privileges and Immunities of the United Nations (adopted 13 February 1946, entered into force 17 September 1946) 1 UNTS 15 [‘CPI’</w:t>
      </w:r>
      <w:r w:rsidR="00162C82" w:rsidRPr="001347F6">
        <w:rPr>
          <w:sz w:val="24"/>
          <w:szCs w:val="24"/>
        </w:rPr>
        <w:t>]</w:t>
      </w:r>
      <w:r w:rsidR="000E212C" w:rsidRPr="001347F6">
        <w:rPr>
          <w:sz w:val="24"/>
          <w:szCs w:val="24"/>
        </w:rPr>
        <w:fldChar w:fldCharType="begin"/>
      </w:r>
      <w:r w:rsidR="000E212C" w:rsidRPr="001347F6">
        <w:rPr>
          <w:sz w:val="24"/>
          <w:szCs w:val="24"/>
        </w:rPr>
        <w:instrText xml:space="preserve"> TA \s "CPI," </w:instrText>
      </w:r>
      <w:r w:rsidR="000E212C" w:rsidRPr="001347F6">
        <w:rPr>
          <w:sz w:val="24"/>
          <w:szCs w:val="24"/>
        </w:rPr>
        <w:fldChar w:fldCharType="end"/>
      </w:r>
      <w:r w:rsidRPr="001347F6">
        <w:rPr>
          <w:sz w:val="24"/>
          <w:szCs w:val="24"/>
        </w:rPr>
        <w:t xml:space="preserve">, Art 6, Section 23. </w:t>
      </w:r>
    </w:p>
    <w:p w14:paraId="27981AAF" w14:textId="77777777" w:rsidR="008C2177" w:rsidRPr="001347F6" w:rsidRDefault="008C2177" w:rsidP="001347F6">
      <w:pPr>
        <w:widowControl/>
        <w:jc w:val="both"/>
        <w:rPr>
          <w:sz w:val="24"/>
          <w:szCs w:val="24"/>
        </w:rPr>
      </w:pPr>
    </w:p>
  </w:footnote>
  <w:footnote w:id="180">
    <w:p w14:paraId="11446F3D" w14:textId="3CFAAA9D"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w:t>
      </w:r>
      <w:r w:rsidRPr="001347F6">
        <w:rPr>
          <w:i/>
          <w:sz w:val="24"/>
          <w:szCs w:val="24"/>
        </w:rPr>
        <w:t>Reparation for Injuries Suffered in Service of United Nations</w:t>
      </w:r>
      <w:r w:rsidRPr="001347F6">
        <w:rPr>
          <w:sz w:val="24"/>
          <w:szCs w:val="24"/>
        </w:rPr>
        <w:t xml:space="preserve"> (Advisory Opinion) [1949] [‘</w:t>
      </w:r>
      <w:r w:rsidRPr="001347F6">
        <w:rPr>
          <w:i/>
          <w:sz w:val="24"/>
          <w:szCs w:val="24"/>
        </w:rPr>
        <w:t>Reparation for Injuries’</w:t>
      </w:r>
      <w:r w:rsidRPr="001347F6">
        <w:rPr>
          <w:sz w:val="24"/>
          <w:szCs w:val="24"/>
        </w:rPr>
        <w:t>] ICJ Rep 1</w:t>
      </w:r>
      <w:r w:rsidR="00E83A3F" w:rsidRPr="001347F6">
        <w:rPr>
          <w:sz w:val="24"/>
          <w:szCs w:val="24"/>
        </w:rPr>
        <w:t>84</w:t>
      </w:r>
      <w:r w:rsidR="0011467F" w:rsidRPr="001347F6">
        <w:rPr>
          <w:sz w:val="24"/>
          <w:szCs w:val="24"/>
        </w:rPr>
        <w:fldChar w:fldCharType="begin"/>
      </w:r>
      <w:r w:rsidR="0011467F" w:rsidRPr="001347F6">
        <w:rPr>
          <w:sz w:val="24"/>
          <w:szCs w:val="24"/>
        </w:rPr>
        <w:instrText xml:space="preserve"> TA \l "</w:instrText>
      </w:r>
      <w:r w:rsidR="0011467F" w:rsidRPr="001347F6">
        <w:rPr>
          <w:i/>
          <w:sz w:val="24"/>
          <w:szCs w:val="24"/>
        </w:rPr>
        <w:instrText>Reparation for Injuries Suffered in Service of United Nations</w:instrText>
      </w:r>
      <w:r w:rsidR="0011467F" w:rsidRPr="001347F6">
        <w:rPr>
          <w:sz w:val="24"/>
          <w:szCs w:val="24"/>
        </w:rPr>
        <w:instrText xml:space="preserve"> (Advisory Opinion) [1949] [‘</w:instrText>
      </w:r>
      <w:r w:rsidR="0011467F" w:rsidRPr="001347F6">
        <w:rPr>
          <w:i/>
          <w:sz w:val="24"/>
          <w:szCs w:val="24"/>
        </w:rPr>
        <w:instrText>Reparation for Injuries’</w:instrText>
      </w:r>
      <w:r w:rsidR="0011467F" w:rsidRPr="001347F6">
        <w:rPr>
          <w:sz w:val="24"/>
          <w:szCs w:val="24"/>
        </w:rPr>
        <w:instrText>] ICJ Rep 1</w:instrText>
      </w:r>
      <w:r w:rsidR="00E83A3F" w:rsidRPr="001347F6">
        <w:rPr>
          <w:sz w:val="24"/>
          <w:szCs w:val="24"/>
        </w:rPr>
        <w:instrText>8</w:instrText>
      </w:r>
      <w:r w:rsidR="0011467F" w:rsidRPr="001347F6">
        <w:rPr>
          <w:sz w:val="24"/>
          <w:szCs w:val="24"/>
        </w:rPr>
        <w:instrText xml:space="preserve">4" \s "Reparation for Injuries" \c 1 </w:instrText>
      </w:r>
      <w:r w:rsidR="0011467F" w:rsidRPr="001347F6">
        <w:rPr>
          <w:sz w:val="24"/>
          <w:szCs w:val="24"/>
        </w:rPr>
        <w:fldChar w:fldCharType="end"/>
      </w:r>
      <w:r w:rsidRPr="001347F6">
        <w:rPr>
          <w:sz w:val="24"/>
          <w:szCs w:val="24"/>
        </w:rPr>
        <w:t>, pp. 14.</w:t>
      </w:r>
    </w:p>
    <w:p w14:paraId="7AB8A6FB" w14:textId="77777777" w:rsidR="003879D5" w:rsidRPr="001347F6" w:rsidRDefault="003879D5" w:rsidP="001347F6">
      <w:pPr>
        <w:widowControl/>
        <w:jc w:val="both"/>
        <w:rPr>
          <w:sz w:val="24"/>
          <w:szCs w:val="24"/>
        </w:rPr>
      </w:pPr>
    </w:p>
  </w:footnote>
  <w:footnote w:id="181">
    <w:p w14:paraId="096C2B77" w14:textId="11DC32B7" w:rsidR="008C2177" w:rsidRPr="001347F6" w:rsidRDefault="00000000" w:rsidP="001347F6">
      <w:pPr>
        <w:widowControl/>
        <w:jc w:val="both"/>
        <w:rPr>
          <w:sz w:val="24"/>
          <w:szCs w:val="24"/>
          <w:highlight w:val="white"/>
        </w:rPr>
      </w:pPr>
      <w:r w:rsidRPr="001347F6">
        <w:rPr>
          <w:sz w:val="24"/>
          <w:szCs w:val="24"/>
          <w:vertAlign w:val="superscript"/>
        </w:rPr>
        <w:footnoteRef/>
      </w:r>
      <w:r w:rsidRPr="001347F6">
        <w:rPr>
          <w:sz w:val="24"/>
          <w:szCs w:val="24"/>
        </w:rPr>
        <w:t xml:space="preserve"> </w:t>
      </w:r>
      <w:r w:rsidRPr="001347F6">
        <w:rPr>
          <w:i/>
          <w:sz w:val="24"/>
          <w:szCs w:val="24"/>
        </w:rPr>
        <w:t>Reparation for Injuries</w:t>
      </w:r>
      <w:r w:rsidR="0011467F" w:rsidRPr="001347F6">
        <w:rPr>
          <w:i/>
          <w:sz w:val="24"/>
          <w:szCs w:val="24"/>
        </w:rPr>
        <w:fldChar w:fldCharType="begin"/>
      </w:r>
      <w:r w:rsidR="0011467F" w:rsidRPr="001347F6">
        <w:rPr>
          <w:i/>
          <w:sz w:val="24"/>
          <w:szCs w:val="24"/>
        </w:rPr>
        <w:instrText xml:space="preserve"> TA \s "Reparation for Injuries" </w:instrText>
      </w:r>
      <w:r w:rsidR="0011467F" w:rsidRPr="001347F6">
        <w:rPr>
          <w:i/>
          <w:sz w:val="24"/>
          <w:szCs w:val="24"/>
        </w:rPr>
        <w:fldChar w:fldCharType="end"/>
      </w:r>
      <w:r w:rsidRPr="001347F6">
        <w:rPr>
          <w:sz w:val="24"/>
          <w:szCs w:val="24"/>
        </w:rPr>
        <w:t xml:space="preserve">, pp. 15; </w:t>
      </w:r>
      <w:r w:rsidRPr="001347F6">
        <w:rPr>
          <w:i/>
          <w:sz w:val="24"/>
          <w:szCs w:val="24"/>
        </w:rPr>
        <w:t>Barcelona Traction</w:t>
      </w:r>
      <w:r w:rsidR="005D54B9" w:rsidRPr="001347F6">
        <w:rPr>
          <w:i/>
          <w:sz w:val="24"/>
          <w:szCs w:val="24"/>
        </w:rPr>
        <w:fldChar w:fldCharType="begin"/>
      </w:r>
      <w:r w:rsidR="005D54B9" w:rsidRPr="001347F6">
        <w:rPr>
          <w:i/>
          <w:sz w:val="24"/>
          <w:szCs w:val="24"/>
        </w:rPr>
        <w:instrText xml:space="preserve"> TA \s "Barcelona Traction" </w:instrText>
      </w:r>
      <w:r w:rsidR="005D54B9" w:rsidRPr="001347F6">
        <w:rPr>
          <w:i/>
          <w:sz w:val="24"/>
          <w:szCs w:val="24"/>
        </w:rPr>
        <w:fldChar w:fldCharType="end"/>
      </w:r>
      <w:r w:rsidRPr="001347F6">
        <w:rPr>
          <w:sz w:val="24"/>
          <w:szCs w:val="24"/>
        </w:rPr>
        <w:t xml:space="preserve"> </w:t>
      </w:r>
      <w:r w:rsidRPr="001347F6">
        <w:rPr>
          <w:sz w:val="24"/>
          <w:szCs w:val="24"/>
          <w:highlight w:val="white"/>
        </w:rPr>
        <w:t>[53].</w:t>
      </w:r>
    </w:p>
    <w:p w14:paraId="15CC1F78" w14:textId="77777777" w:rsidR="008C2177" w:rsidRPr="001347F6" w:rsidRDefault="008C2177" w:rsidP="001347F6">
      <w:pPr>
        <w:widowControl/>
        <w:jc w:val="both"/>
        <w:rPr>
          <w:sz w:val="24"/>
          <w:szCs w:val="24"/>
          <w:highlight w:val="white"/>
        </w:rPr>
      </w:pPr>
    </w:p>
  </w:footnote>
  <w:footnote w:id="182">
    <w:p w14:paraId="52DFEAA7" w14:textId="1E58D768"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w:t>
      </w:r>
      <w:r w:rsidRPr="001347F6">
        <w:rPr>
          <w:i/>
          <w:sz w:val="24"/>
          <w:szCs w:val="24"/>
        </w:rPr>
        <w:t>Barcelona Traction</w:t>
      </w:r>
      <w:r w:rsidR="005D54B9" w:rsidRPr="001347F6">
        <w:rPr>
          <w:i/>
          <w:sz w:val="24"/>
          <w:szCs w:val="24"/>
        </w:rPr>
        <w:fldChar w:fldCharType="begin"/>
      </w:r>
      <w:r w:rsidR="005D54B9" w:rsidRPr="001347F6">
        <w:rPr>
          <w:i/>
          <w:sz w:val="24"/>
          <w:szCs w:val="24"/>
        </w:rPr>
        <w:instrText xml:space="preserve"> TA \s "Barcelona Traction" </w:instrText>
      </w:r>
      <w:r w:rsidR="005D54B9" w:rsidRPr="001347F6">
        <w:rPr>
          <w:i/>
          <w:sz w:val="24"/>
          <w:szCs w:val="24"/>
        </w:rPr>
        <w:fldChar w:fldCharType="end"/>
      </w:r>
      <w:r w:rsidRPr="001347F6">
        <w:rPr>
          <w:sz w:val="24"/>
          <w:szCs w:val="24"/>
        </w:rPr>
        <w:t xml:space="preserve"> [78].</w:t>
      </w:r>
    </w:p>
    <w:p w14:paraId="7339DB03" w14:textId="77777777" w:rsidR="008C2177" w:rsidRPr="001347F6" w:rsidRDefault="008C2177" w:rsidP="001347F6">
      <w:pPr>
        <w:widowControl/>
        <w:jc w:val="both"/>
        <w:rPr>
          <w:sz w:val="24"/>
          <w:szCs w:val="24"/>
        </w:rPr>
      </w:pPr>
    </w:p>
  </w:footnote>
  <w:footnote w:id="183">
    <w:p w14:paraId="0D93F3D6" w14:textId="428E0484" w:rsidR="008C2177" w:rsidRPr="001347F6" w:rsidRDefault="00000000" w:rsidP="001347F6">
      <w:pPr>
        <w:widowControl/>
        <w:jc w:val="both"/>
        <w:rPr>
          <w:i/>
          <w:sz w:val="24"/>
          <w:szCs w:val="24"/>
          <w:highlight w:val="white"/>
        </w:rPr>
      </w:pPr>
      <w:r w:rsidRPr="001347F6">
        <w:rPr>
          <w:sz w:val="24"/>
          <w:szCs w:val="24"/>
          <w:vertAlign w:val="superscript"/>
        </w:rPr>
        <w:footnoteRef/>
      </w:r>
      <w:r w:rsidR="00E83A3F" w:rsidRPr="001347F6">
        <w:rPr>
          <w:sz w:val="24"/>
          <w:szCs w:val="24"/>
        </w:rPr>
        <w:t xml:space="preserve"> </w:t>
      </w:r>
      <w:r w:rsidRPr="001347F6">
        <w:rPr>
          <w:i/>
          <w:sz w:val="24"/>
          <w:szCs w:val="24"/>
        </w:rPr>
        <w:t>Ahmadou Sadio Diallo (Republic of Guinea v. Democratic Republic of the Congo)</w:t>
      </w:r>
      <w:r w:rsidRPr="001347F6">
        <w:rPr>
          <w:sz w:val="24"/>
          <w:szCs w:val="24"/>
        </w:rPr>
        <w:t xml:space="preserve"> (Preliminary Objections) [2007] ICJ Rep 582</w:t>
      </w:r>
      <w:r w:rsidR="003879D5" w:rsidRPr="001347F6">
        <w:rPr>
          <w:sz w:val="24"/>
          <w:szCs w:val="24"/>
        </w:rPr>
        <w:fldChar w:fldCharType="begin"/>
      </w:r>
      <w:r w:rsidR="003879D5" w:rsidRPr="001347F6">
        <w:rPr>
          <w:sz w:val="24"/>
          <w:szCs w:val="24"/>
        </w:rPr>
        <w:instrText xml:space="preserve"> TA \l "</w:instrText>
      </w:r>
      <w:r w:rsidR="003879D5" w:rsidRPr="001347F6">
        <w:rPr>
          <w:i/>
          <w:sz w:val="24"/>
          <w:szCs w:val="24"/>
        </w:rPr>
        <w:instrText>Ahmadou Sadio Diallo (Republic of Guinea v. Democratic Republic of the Congo)</w:instrText>
      </w:r>
      <w:r w:rsidR="003879D5" w:rsidRPr="001347F6">
        <w:rPr>
          <w:sz w:val="24"/>
          <w:szCs w:val="24"/>
        </w:rPr>
        <w:instrText xml:space="preserve"> (Preliminary Objections) [2007] ICJ Rep 582" \s "Ahmadou Sadio Diallo (Republic of Guinea v. Democratic Republic of the Congo) (Preliminary Objections) [2007] ICJ Rep 582" \c 1 </w:instrText>
      </w:r>
      <w:r w:rsidR="003879D5" w:rsidRPr="001347F6">
        <w:rPr>
          <w:sz w:val="24"/>
          <w:szCs w:val="24"/>
        </w:rPr>
        <w:fldChar w:fldCharType="end"/>
      </w:r>
      <w:r w:rsidRPr="001347F6">
        <w:rPr>
          <w:sz w:val="24"/>
          <w:szCs w:val="24"/>
        </w:rPr>
        <w:t xml:space="preserve">, [40]-[41]; </w:t>
      </w:r>
      <w:r w:rsidRPr="001347F6">
        <w:rPr>
          <w:i/>
          <w:sz w:val="24"/>
          <w:szCs w:val="24"/>
        </w:rPr>
        <w:t>Interhandel (Switzerland v. USA)</w:t>
      </w:r>
      <w:r w:rsidRPr="001347F6">
        <w:rPr>
          <w:sz w:val="24"/>
          <w:szCs w:val="24"/>
        </w:rPr>
        <w:t xml:space="preserve"> (Preliminary Objections) [1959] ICJ Rep</w:t>
      </w:r>
      <w:r w:rsidR="00E83A3F" w:rsidRPr="001347F6">
        <w:rPr>
          <w:sz w:val="24"/>
          <w:szCs w:val="24"/>
        </w:rPr>
        <w:t xml:space="preserve"> 29</w:t>
      </w:r>
      <w:r w:rsidR="003879D5" w:rsidRPr="001347F6">
        <w:rPr>
          <w:sz w:val="24"/>
          <w:szCs w:val="24"/>
        </w:rPr>
        <w:fldChar w:fldCharType="begin"/>
      </w:r>
      <w:r w:rsidR="003879D5" w:rsidRPr="001347F6">
        <w:rPr>
          <w:sz w:val="24"/>
          <w:szCs w:val="24"/>
        </w:rPr>
        <w:instrText xml:space="preserve"> TA \l "</w:instrText>
      </w:r>
      <w:r w:rsidR="003879D5" w:rsidRPr="001347F6">
        <w:rPr>
          <w:i/>
          <w:sz w:val="24"/>
          <w:szCs w:val="24"/>
        </w:rPr>
        <w:instrText>Interhandel (Switzerland v. USA)</w:instrText>
      </w:r>
      <w:r w:rsidR="003879D5" w:rsidRPr="001347F6">
        <w:rPr>
          <w:sz w:val="24"/>
          <w:szCs w:val="24"/>
        </w:rPr>
        <w:instrText xml:space="preserve"> (Preliminary Objections) [1959] ICJ Rep</w:instrText>
      </w:r>
      <w:r w:rsidR="00E83A3F" w:rsidRPr="001347F6">
        <w:rPr>
          <w:sz w:val="24"/>
          <w:szCs w:val="24"/>
        </w:rPr>
        <w:instrText xml:space="preserve"> 29</w:instrText>
      </w:r>
      <w:r w:rsidR="003879D5" w:rsidRPr="001347F6">
        <w:rPr>
          <w:sz w:val="24"/>
          <w:szCs w:val="24"/>
        </w:rPr>
        <w:instrText xml:space="preserve">" \s "Interhandel" \c 1 </w:instrText>
      </w:r>
      <w:r w:rsidR="003879D5" w:rsidRPr="001347F6">
        <w:rPr>
          <w:sz w:val="24"/>
          <w:szCs w:val="24"/>
        </w:rPr>
        <w:fldChar w:fldCharType="end"/>
      </w:r>
      <w:r w:rsidRPr="001347F6">
        <w:rPr>
          <w:sz w:val="24"/>
          <w:szCs w:val="24"/>
        </w:rPr>
        <w:t xml:space="preserve">, pp. 27. </w:t>
      </w:r>
    </w:p>
    <w:p w14:paraId="7FFE0206" w14:textId="77777777" w:rsidR="008C2177" w:rsidRPr="001347F6" w:rsidRDefault="008C2177" w:rsidP="001347F6">
      <w:pPr>
        <w:widowControl/>
        <w:jc w:val="both"/>
        <w:rPr>
          <w:sz w:val="24"/>
          <w:szCs w:val="24"/>
        </w:rPr>
      </w:pPr>
    </w:p>
  </w:footnote>
  <w:footnote w:id="184">
    <w:p w14:paraId="4EA0A39A" w14:textId="531BA1FA"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w:t>
      </w:r>
      <w:r w:rsidRPr="001347F6">
        <w:rPr>
          <w:i/>
          <w:sz w:val="24"/>
          <w:szCs w:val="24"/>
        </w:rPr>
        <w:t>DADP with Commentaries</w:t>
      </w:r>
      <w:r w:rsidR="008A3D5E" w:rsidRPr="001347F6">
        <w:rPr>
          <w:i/>
          <w:sz w:val="24"/>
          <w:szCs w:val="24"/>
        </w:rPr>
        <w:fldChar w:fldCharType="begin"/>
      </w:r>
      <w:r w:rsidR="008A3D5E" w:rsidRPr="001347F6">
        <w:rPr>
          <w:i/>
          <w:sz w:val="24"/>
          <w:szCs w:val="24"/>
        </w:rPr>
        <w:instrText xml:space="preserve"> TA \s "DADP with Commentaries" </w:instrText>
      </w:r>
      <w:r w:rsidR="008A3D5E" w:rsidRPr="001347F6">
        <w:rPr>
          <w:i/>
          <w:sz w:val="24"/>
          <w:szCs w:val="24"/>
        </w:rPr>
        <w:fldChar w:fldCharType="end"/>
      </w:r>
      <w:r w:rsidRPr="001347F6">
        <w:rPr>
          <w:sz w:val="24"/>
          <w:szCs w:val="24"/>
        </w:rPr>
        <w:t>, Art 15 [11]; Elettronica Sicula S.p.A. (ELSI) (USA v. Italy) (Judgment) [1989] ICJ Rep 43-44</w:t>
      </w:r>
      <w:r w:rsidR="003879D5" w:rsidRPr="001347F6">
        <w:rPr>
          <w:sz w:val="24"/>
          <w:szCs w:val="24"/>
        </w:rPr>
        <w:fldChar w:fldCharType="begin"/>
      </w:r>
      <w:r w:rsidR="003879D5" w:rsidRPr="001347F6">
        <w:rPr>
          <w:sz w:val="24"/>
          <w:szCs w:val="24"/>
        </w:rPr>
        <w:instrText xml:space="preserve"> TA \l "Elettronica Sicula S.p.A. (ELSI) (USA v. Italy) (Judgment) [1989] ICJ Rep 43-44" \s "Elettronica Sicula S.p.A. (ELSI)" \c 1 </w:instrText>
      </w:r>
      <w:r w:rsidR="003879D5" w:rsidRPr="001347F6">
        <w:rPr>
          <w:sz w:val="24"/>
          <w:szCs w:val="24"/>
        </w:rPr>
        <w:fldChar w:fldCharType="end"/>
      </w:r>
      <w:r w:rsidRPr="001347F6">
        <w:rPr>
          <w:sz w:val="24"/>
          <w:szCs w:val="24"/>
        </w:rPr>
        <w:t xml:space="preserve"> [53].</w:t>
      </w:r>
    </w:p>
    <w:p w14:paraId="03B13BDE" w14:textId="77777777" w:rsidR="008C2177" w:rsidRPr="001347F6" w:rsidRDefault="008C2177" w:rsidP="001347F6">
      <w:pPr>
        <w:widowControl/>
        <w:jc w:val="both"/>
        <w:rPr>
          <w:sz w:val="24"/>
          <w:szCs w:val="24"/>
        </w:rPr>
      </w:pPr>
    </w:p>
  </w:footnote>
  <w:footnote w:id="185">
    <w:p w14:paraId="41525CDC" w14:textId="77777777"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Compromis, [58].</w:t>
      </w:r>
    </w:p>
    <w:p w14:paraId="0FC13A05" w14:textId="77777777" w:rsidR="008C2177" w:rsidRPr="001347F6" w:rsidRDefault="008C2177" w:rsidP="001347F6">
      <w:pPr>
        <w:widowControl/>
        <w:jc w:val="both"/>
        <w:rPr>
          <w:sz w:val="24"/>
          <w:szCs w:val="24"/>
        </w:rPr>
      </w:pPr>
    </w:p>
  </w:footnote>
  <w:footnote w:id="186">
    <w:p w14:paraId="38E35372" w14:textId="1160DFA9"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Compromis, [51].</w:t>
      </w:r>
    </w:p>
    <w:p w14:paraId="6619971C" w14:textId="77777777" w:rsidR="003879D5" w:rsidRPr="001347F6" w:rsidRDefault="003879D5" w:rsidP="001347F6">
      <w:pPr>
        <w:widowControl/>
        <w:jc w:val="both"/>
        <w:rPr>
          <w:sz w:val="24"/>
          <w:szCs w:val="24"/>
        </w:rPr>
      </w:pPr>
    </w:p>
  </w:footnote>
  <w:footnote w:id="187">
    <w:p w14:paraId="04051E47" w14:textId="77777777"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Clarifications, [11].</w:t>
      </w:r>
    </w:p>
    <w:p w14:paraId="53673673" w14:textId="77777777" w:rsidR="008C2177" w:rsidRPr="001347F6" w:rsidRDefault="008C2177" w:rsidP="001347F6">
      <w:pPr>
        <w:jc w:val="both"/>
        <w:rPr>
          <w:sz w:val="24"/>
          <w:szCs w:val="24"/>
        </w:rPr>
      </w:pPr>
    </w:p>
  </w:footnote>
  <w:footnote w:id="188">
    <w:p w14:paraId="39A0BD82" w14:textId="77777777" w:rsidR="008C2177" w:rsidRPr="001347F6" w:rsidRDefault="00000000" w:rsidP="001347F6">
      <w:pPr>
        <w:jc w:val="both"/>
        <w:rPr>
          <w:sz w:val="24"/>
          <w:szCs w:val="24"/>
        </w:rPr>
      </w:pPr>
      <w:r w:rsidRPr="001347F6">
        <w:rPr>
          <w:sz w:val="24"/>
          <w:szCs w:val="24"/>
          <w:vertAlign w:val="superscript"/>
        </w:rPr>
        <w:footnoteRef/>
      </w:r>
      <w:r w:rsidRPr="001347F6">
        <w:rPr>
          <w:sz w:val="24"/>
          <w:szCs w:val="24"/>
        </w:rPr>
        <w:t xml:space="preserve"> Clarifications, [11].</w:t>
      </w:r>
    </w:p>
    <w:p w14:paraId="18E19347" w14:textId="77777777" w:rsidR="00B875F6" w:rsidRPr="001347F6" w:rsidRDefault="00B875F6" w:rsidP="001347F6">
      <w:pPr>
        <w:jc w:val="both"/>
        <w:rPr>
          <w:sz w:val="24"/>
          <w:szCs w:val="24"/>
        </w:rPr>
      </w:pPr>
    </w:p>
  </w:footnote>
  <w:footnote w:id="189">
    <w:p w14:paraId="6692F4FF" w14:textId="23C4AD0B"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UN Charter</w:t>
      </w:r>
      <w:r w:rsidR="000B5DB7" w:rsidRPr="001347F6">
        <w:rPr>
          <w:sz w:val="24"/>
          <w:szCs w:val="24"/>
        </w:rPr>
        <w:fldChar w:fldCharType="begin"/>
      </w:r>
      <w:r w:rsidR="000B5DB7" w:rsidRPr="001347F6">
        <w:rPr>
          <w:sz w:val="24"/>
          <w:szCs w:val="24"/>
        </w:rPr>
        <w:instrText xml:space="preserve"> TA \s "UN Charter" </w:instrText>
      </w:r>
      <w:r w:rsidR="000B5DB7" w:rsidRPr="001347F6">
        <w:rPr>
          <w:sz w:val="24"/>
          <w:szCs w:val="24"/>
        </w:rPr>
        <w:fldChar w:fldCharType="end"/>
      </w:r>
      <w:r w:rsidR="00B16E0A" w:rsidRPr="001347F6">
        <w:rPr>
          <w:sz w:val="24"/>
          <w:szCs w:val="24"/>
        </w:rPr>
        <w:t>,</w:t>
      </w:r>
      <w:r w:rsidRPr="001347F6">
        <w:rPr>
          <w:sz w:val="24"/>
          <w:szCs w:val="24"/>
        </w:rPr>
        <w:t xml:space="preserve"> Art 105; CPI</w:t>
      </w:r>
      <w:r w:rsidR="00B16E0A" w:rsidRPr="001347F6">
        <w:rPr>
          <w:sz w:val="24"/>
          <w:szCs w:val="24"/>
        </w:rPr>
        <w:t>,</w:t>
      </w:r>
      <w:r w:rsidR="000E212C" w:rsidRPr="001347F6">
        <w:rPr>
          <w:sz w:val="24"/>
          <w:szCs w:val="24"/>
        </w:rPr>
        <w:fldChar w:fldCharType="begin"/>
      </w:r>
      <w:r w:rsidR="000E212C" w:rsidRPr="001347F6">
        <w:rPr>
          <w:sz w:val="24"/>
          <w:szCs w:val="24"/>
        </w:rPr>
        <w:instrText xml:space="preserve"> TA \s "CPI," </w:instrText>
      </w:r>
      <w:r w:rsidR="000E212C" w:rsidRPr="001347F6">
        <w:rPr>
          <w:sz w:val="24"/>
          <w:szCs w:val="24"/>
        </w:rPr>
        <w:fldChar w:fldCharType="end"/>
      </w:r>
      <w:r w:rsidRPr="001347F6">
        <w:rPr>
          <w:sz w:val="24"/>
          <w:szCs w:val="24"/>
        </w:rPr>
        <w:t xml:space="preserve"> Art 6 section 23; ILC ‘The practice of the United Nations, the specialized agencies and the International Atomic Energy Agency concerning their status, privileges and immunities: study prepared by the Secretariat’ (1967) UN Doc A/CN.4/L.118</w:t>
      </w:r>
      <w:r w:rsidR="003879D5" w:rsidRPr="001347F6">
        <w:rPr>
          <w:sz w:val="24"/>
          <w:szCs w:val="24"/>
        </w:rPr>
        <w:fldChar w:fldCharType="begin"/>
      </w:r>
      <w:r w:rsidR="003879D5" w:rsidRPr="001347F6">
        <w:rPr>
          <w:sz w:val="24"/>
          <w:szCs w:val="24"/>
        </w:rPr>
        <w:instrText xml:space="preserve"> TA \l "ILC ‘The practice of the United Nations, the specialized agencies and the International Atomic Energy Agency concerning their status, privileges and immunities: study prepared by the Secretariat’ (1967) UN Doc A/CN.4/L.118" \s "A/CN.4/L.118" \c 7 </w:instrText>
      </w:r>
      <w:r w:rsidR="003879D5" w:rsidRPr="001347F6">
        <w:rPr>
          <w:sz w:val="24"/>
          <w:szCs w:val="24"/>
        </w:rPr>
        <w:fldChar w:fldCharType="end"/>
      </w:r>
      <w:r w:rsidRPr="001347F6">
        <w:rPr>
          <w:sz w:val="24"/>
          <w:szCs w:val="24"/>
        </w:rPr>
        <w:t xml:space="preserve"> [366]. </w:t>
      </w:r>
    </w:p>
    <w:p w14:paraId="2ECDD37F" w14:textId="77777777" w:rsidR="008C2177" w:rsidRPr="001347F6" w:rsidRDefault="008C2177" w:rsidP="001347F6">
      <w:pPr>
        <w:widowControl/>
        <w:jc w:val="both"/>
        <w:rPr>
          <w:sz w:val="24"/>
          <w:szCs w:val="24"/>
        </w:rPr>
      </w:pPr>
    </w:p>
  </w:footnote>
  <w:footnote w:id="190">
    <w:p w14:paraId="29378874" w14:textId="5C1974AB"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CPI</w:t>
      </w:r>
      <w:r w:rsidR="00B16E0A" w:rsidRPr="001347F6">
        <w:rPr>
          <w:sz w:val="24"/>
          <w:szCs w:val="24"/>
        </w:rPr>
        <w:t>,</w:t>
      </w:r>
      <w:r w:rsidR="000E212C" w:rsidRPr="001347F6">
        <w:rPr>
          <w:sz w:val="24"/>
          <w:szCs w:val="24"/>
        </w:rPr>
        <w:fldChar w:fldCharType="begin"/>
      </w:r>
      <w:r w:rsidR="000E212C" w:rsidRPr="001347F6">
        <w:rPr>
          <w:sz w:val="24"/>
          <w:szCs w:val="24"/>
        </w:rPr>
        <w:instrText xml:space="preserve"> TA \s "CPI," </w:instrText>
      </w:r>
      <w:r w:rsidR="000E212C" w:rsidRPr="001347F6">
        <w:rPr>
          <w:sz w:val="24"/>
          <w:szCs w:val="24"/>
        </w:rPr>
        <w:fldChar w:fldCharType="end"/>
      </w:r>
      <w:r w:rsidRPr="001347F6">
        <w:rPr>
          <w:sz w:val="24"/>
          <w:szCs w:val="24"/>
        </w:rPr>
        <w:t xml:space="preserve"> Art 6, section 24–25.</w:t>
      </w:r>
    </w:p>
    <w:p w14:paraId="527A9166" w14:textId="77777777" w:rsidR="008C2177" w:rsidRPr="001347F6" w:rsidRDefault="008C2177" w:rsidP="001347F6">
      <w:pPr>
        <w:widowControl/>
        <w:jc w:val="both"/>
        <w:rPr>
          <w:sz w:val="24"/>
          <w:szCs w:val="24"/>
        </w:rPr>
      </w:pPr>
    </w:p>
  </w:footnote>
  <w:footnote w:id="191">
    <w:p w14:paraId="4328C5EE" w14:textId="7032C4B7"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CPI</w:t>
      </w:r>
      <w:r w:rsidR="00B16E0A" w:rsidRPr="001347F6">
        <w:rPr>
          <w:sz w:val="24"/>
          <w:szCs w:val="24"/>
        </w:rPr>
        <w:t>,</w:t>
      </w:r>
      <w:r w:rsidR="000E212C" w:rsidRPr="001347F6">
        <w:rPr>
          <w:sz w:val="24"/>
          <w:szCs w:val="24"/>
        </w:rPr>
        <w:fldChar w:fldCharType="begin"/>
      </w:r>
      <w:r w:rsidR="000E212C" w:rsidRPr="001347F6">
        <w:rPr>
          <w:sz w:val="24"/>
          <w:szCs w:val="24"/>
        </w:rPr>
        <w:instrText xml:space="preserve"> TA \s "CPI," </w:instrText>
      </w:r>
      <w:r w:rsidR="000E212C" w:rsidRPr="001347F6">
        <w:rPr>
          <w:sz w:val="24"/>
          <w:szCs w:val="24"/>
        </w:rPr>
        <w:fldChar w:fldCharType="end"/>
      </w:r>
      <w:r w:rsidRPr="001347F6">
        <w:rPr>
          <w:sz w:val="24"/>
          <w:szCs w:val="24"/>
        </w:rPr>
        <w:t xml:space="preserve"> Art 6, section 26.</w:t>
      </w:r>
    </w:p>
    <w:p w14:paraId="0E3E0711" w14:textId="77777777" w:rsidR="008C2177" w:rsidRPr="001347F6" w:rsidRDefault="008C2177" w:rsidP="001347F6">
      <w:pPr>
        <w:widowControl/>
        <w:jc w:val="both"/>
        <w:rPr>
          <w:sz w:val="24"/>
          <w:szCs w:val="24"/>
        </w:rPr>
      </w:pPr>
    </w:p>
  </w:footnote>
  <w:footnote w:id="192">
    <w:p w14:paraId="7CA1D537" w14:textId="77777777"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Compromis, [55].</w:t>
      </w:r>
    </w:p>
    <w:p w14:paraId="677D881A" w14:textId="77777777" w:rsidR="008C2177" w:rsidRPr="001347F6" w:rsidRDefault="008C2177" w:rsidP="001347F6">
      <w:pPr>
        <w:widowControl/>
        <w:jc w:val="both"/>
        <w:rPr>
          <w:sz w:val="24"/>
          <w:szCs w:val="24"/>
        </w:rPr>
      </w:pPr>
    </w:p>
  </w:footnote>
  <w:footnote w:id="193">
    <w:p w14:paraId="55DB47A7" w14:textId="77777777"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Compromis, [58].</w:t>
      </w:r>
    </w:p>
    <w:p w14:paraId="5858B552" w14:textId="77777777" w:rsidR="008C2177" w:rsidRPr="001347F6" w:rsidRDefault="008C2177" w:rsidP="001347F6">
      <w:pPr>
        <w:widowControl/>
        <w:jc w:val="both"/>
        <w:rPr>
          <w:sz w:val="24"/>
          <w:szCs w:val="24"/>
        </w:rPr>
      </w:pPr>
    </w:p>
  </w:footnote>
  <w:footnote w:id="194">
    <w:p w14:paraId="5E30FAF5" w14:textId="77777777"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Compromis, [52].</w:t>
      </w:r>
    </w:p>
    <w:p w14:paraId="18185FA0" w14:textId="77777777" w:rsidR="008C2177" w:rsidRPr="001347F6" w:rsidRDefault="008C2177" w:rsidP="001347F6">
      <w:pPr>
        <w:widowControl/>
        <w:jc w:val="both"/>
        <w:rPr>
          <w:sz w:val="24"/>
          <w:szCs w:val="24"/>
        </w:rPr>
      </w:pPr>
    </w:p>
  </w:footnote>
  <w:footnote w:id="195">
    <w:p w14:paraId="7A192FB3" w14:textId="471967D2"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UN Charter</w:t>
      </w:r>
      <w:r w:rsidR="000B5DB7" w:rsidRPr="001347F6">
        <w:rPr>
          <w:sz w:val="24"/>
          <w:szCs w:val="24"/>
        </w:rPr>
        <w:fldChar w:fldCharType="begin"/>
      </w:r>
      <w:r w:rsidR="000B5DB7" w:rsidRPr="001347F6">
        <w:rPr>
          <w:sz w:val="24"/>
          <w:szCs w:val="24"/>
        </w:rPr>
        <w:instrText xml:space="preserve"> TA \s "UN Charter" </w:instrText>
      </w:r>
      <w:r w:rsidR="000B5DB7" w:rsidRPr="001347F6">
        <w:rPr>
          <w:sz w:val="24"/>
          <w:szCs w:val="24"/>
        </w:rPr>
        <w:fldChar w:fldCharType="end"/>
      </w:r>
      <w:r w:rsidRPr="001347F6">
        <w:rPr>
          <w:sz w:val="24"/>
          <w:szCs w:val="24"/>
        </w:rPr>
        <w:t>,</w:t>
      </w:r>
      <w:r w:rsidR="00150089" w:rsidRPr="001347F6">
        <w:rPr>
          <w:sz w:val="24"/>
          <w:szCs w:val="24"/>
        </w:rPr>
        <w:t xml:space="preserve"> </w:t>
      </w:r>
      <w:r w:rsidRPr="001347F6">
        <w:rPr>
          <w:sz w:val="24"/>
          <w:szCs w:val="24"/>
        </w:rPr>
        <w:t xml:space="preserve">Art 25; </w:t>
      </w:r>
      <w:r w:rsidRPr="001347F6">
        <w:rPr>
          <w:i/>
          <w:sz w:val="24"/>
          <w:szCs w:val="24"/>
        </w:rPr>
        <w:t xml:space="preserve">Questions of Interpretation and Application of the 1971 Montreal Convention arising from the Aerial Incident at Lockerbie (Libyan Arab Jamahiriya v. USA) </w:t>
      </w:r>
      <w:r w:rsidRPr="001347F6">
        <w:rPr>
          <w:sz w:val="24"/>
          <w:szCs w:val="24"/>
        </w:rPr>
        <w:t>(Provisional measures) [1992] ICJ Rep 126</w:t>
      </w:r>
      <w:r w:rsidR="003879D5" w:rsidRPr="001347F6">
        <w:rPr>
          <w:sz w:val="24"/>
          <w:szCs w:val="24"/>
        </w:rPr>
        <w:fldChar w:fldCharType="begin"/>
      </w:r>
      <w:r w:rsidR="003879D5" w:rsidRPr="001347F6">
        <w:rPr>
          <w:sz w:val="24"/>
          <w:szCs w:val="24"/>
        </w:rPr>
        <w:instrText xml:space="preserve"> TA \l "</w:instrText>
      </w:r>
      <w:r w:rsidR="003879D5" w:rsidRPr="001347F6">
        <w:rPr>
          <w:i/>
          <w:sz w:val="24"/>
          <w:szCs w:val="24"/>
        </w:rPr>
        <w:instrText xml:space="preserve">Questions of Interpretation and Application of the 1971 Montreal Convention arising from the Aerial Incident at Lockerbie (Libyan Arab Jamahiriya v. USA) </w:instrText>
      </w:r>
      <w:r w:rsidR="003879D5" w:rsidRPr="001347F6">
        <w:rPr>
          <w:sz w:val="24"/>
          <w:szCs w:val="24"/>
        </w:rPr>
        <w:instrText xml:space="preserve">(Provisional measures) [1992] ICJ Rep 126" \s "Questions of Interpretation and Application of the 1971 Montreal Convention arising from the Aerial Incident at Lockerbie PM" \c 1 </w:instrText>
      </w:r>
      <w:r w:rsidR="003879D5" w:rsidRPr="001347F6">
        <w:rPr>
          <w:sz w:val="24"/>
          <w:szCs w:val="24"/>
        </w:rPr>
        <w:fldChar w:fldCharType="end"/>
      </w:r>
      <w:r w:rsidRPr="001347F6">
        <w:rPr>
          <w:sz w:val="24"/>
          <w:szCs w:val="24"/>
        </w:rPr>
        <w:t xml:space="preserve"> [40]-[42].</w:t>
      </w:r>
    </w:p>
    <w:p w14:paraId="3347D72C" w14:textId="77777777" w:rsidR="008C2177" w:rsidRPr="001347F6" w:rsidRDefault="008C2177" w:rsidP="001347F6">
      <w:pPr>
        <w:widowControl/>
        <w:jc w:val="both"/>
        <w:rPr>
          <w:sz w:val="24"/>
          <w:szCs w:val="24"/>
        </w:rPr>
      </w:pPr>
    </w:p>
  </w:footnote>
  <w:footnote w:id="196">
    <w:p w14:paraId="6616713F" w14:textId="2D309A8D"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w:t>
      </w:r>
      <w:r w:rsidR="003879D5" w:rsidRPr="001347F6">
        <w:rPr>
          <w:i/>
          <w:sz w:val="24"/>
          <w:szCs w:val="24"/>
        </w:rPr>
        <w:fldChar w:fldCharType="begin"/>
      </w:r>
      <w:r w:rsidR="003879D5" w:rsidRPr="001347F6">
        <w:rPr>
          <w:sz w:val="24"/>
          <w:szCs w:val="24"/>
        </w:rPr>
        <w:instrText xml:space="preserve"> TA \l "</w:instrText>
      </w:r>
      <w:r w:rsidR="003879D5" w:rsidRPr="001347F6">
        <w:rPr>
          <w:i/>
          <w:sz w:val="24"/>
          <w:szCs w:val="24"/>
        </w:rPr>
        <w:instrText>Legal Consequences for States of the Continued Presence of South Africa in Namibia (Southwest Africa) Notwithstanding Security Council Resolution 2</w:instrText>
      </w:r>
      <w:r w:rsidR="003879D5" w:rsidRPr="001347F6">
        <w:rPr>
          <w:sz w:val="24"/>
          <w:szCs w:val="24"/>
        </w:rPr>
        <w:instrText>76 (Advisory Opinion) [1970] [‘</w:instrText>
      </w:r>
      <w:r w:rsidR="003879D5" w:rsidRPr="001347F6">
        <w:rPr>
          <w:i/>
          <w:sz w:val="24"/>
          <w:szCs w:val="24"/>
        </w:rPr>
        <w:instrText>Namibia Advisory Opinion</w:instrText>
      </w:r>
      <w:r w:rsidR="003879D5" w:rsidRPr="001347F6">
        <w:rPr>
          <w:sz w:val="24"/>
          <w:szCs w:val="24"/>
        </w:rPr>
        <w:instrText xml:space="preserve">’], ICJ Rep 1971" \s "Namibia Advisory Opinion" \c 1 </w:instrText>
      </w:r>
      <w:r w:rsidR="003879D5" w:rsidRPr="001347F6">
        <w:rPr>
          <w:i/>
          <w:sz w:val="24"/>
          <w:szCs w:val="24"/>
        </w:rPr>
        <w:fldChar w:fldCharType="end"/>
      </w:r>
      <w:r w:rsidRPr="001347F6">
        <w:rPr>
          <w:i/>
          <w:sz w:val="24"/>
          <w:szCs w:val="24"/>
        </w:rPr>
        <w:t>Legal Consequences for States of the Continued Presence of South Africa in Namibia (Southwest Africa) Notwithstanding Security Council Resolution 2</w:t>
      </w:r>
      <w:r w:rsidRPr="001347F6">
        <w:rPr>
          <w:sz w:val="24"/>
          <w:szCs w:val="24"/>
        </w:rPr>
        <w:t>76 (Advisory Opinion) [1970] [‘</w:t>
      </w:r>
      <w:r w:rsidRPr="001347F6">
        <w:rPr>
          <w:i/>
          <w:sz w:val="24"/>
          <w:szCs w:val="24"/>
        </w:rPr>
        <w:t>Namibia Advisory Opinion</w:t>
      </w:r>
      <w:r w:rsidRPr="001347F6">
        <w:rPr>
          <w:sz w:val="24"/>
          <w:szCs w:val="24"/>
        </w:rPr>
        <w:t xml:space="preserve">’], ICJ Rep 1971 [114]. </w:t>
      </w:r>
    </w:p>
    <w:p w14:paraId="06037BEC" w14:textId="77777777" w:rsidR="008C2177" w:rsidRPr="001347F6" w:rsidRDefault="008C2177" w:rsidP="001347F6">
      <w:pPr>
        <w:widowControl/>
        <w:jc w:val="both"/>
        <w:rPr>
          <w:sz w:val="24"/>
          <w:szCs w:val="24"/>
        </w:rPr>
      </w:pPr>
    </w:p>
  </w:footnote>
  <w:footnote w:id="197">
    <w:p w14:paraId="4EB5ADC7" w14:textId="1834FBC4"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w:t>
      </w:r>
      <w:r w:rsidRPr="001347F6">
        <w:rPr>
          <w:i/>
          <w:sz w:val="24"/>
          <w:szCs w:val="24"/>
        </w:rPr>
        <w:t>Namibia Advisory Opinion</w:t>
      </w:r>
      <w:r w:rsidR="003879D5" w:rsidRPr="001347F6">
        <w:rPr>
          <w:i/>
          <w:sz w:val="24"/>
          <w:szCs w:val="24"/>
        </w:rPr>
        <w:fldChar w:fldCharType="begin"/>
      </w:r>
      <w:r w:rsidR="003879D5" w:rsidRPr="001347F6">
        <w:rPr>
          <w:i/>
          <w:sz w:val="24"/>
          <w:szCs w:val="24"/>
        </w:rPr>
        <w:instrText xml:space="preserve"> TA \s "Namibia Advisory Opinion" </w:instrText>
      </w:r>
      <w:r w:rsidR="003879D5" w:rsidRPr="001347F6">
        <w:rPr>
          <w:i/>
          <w:sz w:val="24"/>
          <w:szCs w:val="24"/>
        </w:rPr>
        <w:fldChar w:fldCharType="end"/>
      </w:r>
      <w:r w:rsidRPr="001347F6">
        <w:rPr>
          <w:sz w:val="24"/>
          <w:szCs w:val="24"/>
        </w:rPr>
        <w:t xml:space="preserve"> [113]; Higgins, R. </w:t>
      </w:r>
      <w:r w:rsidRPr="001347F6">
        <w:rPr>
          <w:i/>
          <w:sz w:val="24"/>
          <w:szCs w:val="24"/>
        </w:rPr>
        <w:t>The Advisory opinion of Namibia: Which UN Resolutions are binding under Article 25 of the Charter?</w:t>
      </w:r>
      <w:r w:rsidRPr="001347F6">
        <w:rPr>
          <w:sz w:val="24"/>
          <w:szCs w:val="24"/>
        </w:rPr>
        <w:t xml:space="preserve"> (CUP  1972)</w:t>
      </w:r>
      <w:r w:rsidR="003879D5" w:rsidRPr="001347F6">
        <w:rPr>
          <w:sz w:val="24"/>
          <w:szCs w:val="24"/>
        </w:rPr>
        <w:fldChar w:fldCharType="begin"/>
      </w:r>
      <w:r w:rsidR="003879D5" w:rsidRPr="001347F6">
        <w:rPr>
          <w:sz w:val="24"/>
          <w:szCs w:val="24"/>
        </w:rPr>
        <w:instrText xml:space="preserve"> TA \l "Higgins, R. </w:instrText>
      </w:r>
      <w:r w:rsidR="003879D5" w:rsidRPr="001347F6">
        <w:rPr>
          <w:i/>
          <w:sz w:val="24"/>
          <w:szCs w:val="24"/>
        </w:rPr>
        <w:instrText>The Advisory opinion of Namibia: Which UN Resolutions are binding under Article 25 of the Charter?</w:instrText>
      </w:r>
      <w:r w:rsidR="003879D5" w:rsidRPr="001347F6">
        <w:rPr>
          <w:sz w:val="24"/>
          <w:szCs w:val="24"/>
        </w:rPr>
        <w:instrText xml:space="preserve"> (CUP  1972)" \s "Higgins, R." \c 6 </w:instrText>
      </w:r>
      <w:r w:rsidR="003879D5" w:rsidRPr="001347F6">
        <w:rPr>
          <w:sz w:val="24"/>
          <w:szCs w:val="24"/>
        </w:rPr>
        <w:fldChar w:fldCharType="end"/>
      </w:r>
      <w:r w:rsidRPr="001347F6">
        <w:rPr>
          <w:sz w:val="24"/>
          <w:szCs w:val="24"/>
        </w:rPr>
        <w:t xml:space="preserve"> pp. 282; UNSC Res 189 (4 June 1964) UN Doc S/RES/189</w:t>
      </w:r>
      <w:r w:rsidR="003879D5" w:rsidRPr="001347F6">
        <w:rPr>
          <w:sz w:val="24"/>
          <w:szCs w:val="24"/>
        </w:rPr>
        <w:fldChar w:fldCharType="begin"/>
      </w:r>
      <w:r w:rsidR="003879D5" w:rsidRPr="001347F6">
        <w:rPr>
          <w:sz w:val="24"/>
          <w:szCs w:val="24"/>
        </w:rPr>
        <w:instrText xml:space="preserve"> TA \l "UNSC Res 189 (4 June 1964) UN Doc S/RES/189" \s "UN Doc S/RES/189" \c 3 </w:instrText>
      </w:r>
      <w:r w:rsidR="003879D5" w:rsidRPr="001347F6">
        <w:rPr>
          <w:sz w:val="24"/>
          <w:szCs w:val="24"/>
        </w:rPr>
        <w:fldChar w:fldCharType="end"/>
      </w:r>
      <w:r w:rsidRPr="001347F6">
        <w:rPr>
          <w:sz w:val="24"/>
          <w:szCs w:val="24"/>
        </w:rPr>
        <w:t>; UNSC Res 289 (23 November 1970) UN Doc S/RES/289</w:t>
      </w:r>
      <w:r w:rsidR="003879D5" w:rsidRPr="001347F6">
        <w:rPr>
          <w:sz w:val="24"/>
          <w:szCs w:val="24"/>
        </w:rPr>
        <w:fldChar w:fldCharType="begin"/>
      </w:r>
      <w:r w:rsidR="003879D5" w:rsidRPr="001347F6">
        <w:rPr>
          <w:sz w:val="24"/>
          <w:szCs w:val="24"/>
        </w:rPr>
        <w:instrText xml:space="preserve"> TA \l "UNSC Res 289 (23 November 1970) UN Doc S/RES/289" \s "UN Doc S/RES/289" \c 3 </w:instrText>
      </w:r>
      <w:r w:rsidR="003879D5" w:rsidRPr="001347F6">
        <w:rPr>
          <w:sz w:val="24"/>
          <w:szCs w:val="24"/>
        </w:rPr>
        <w:fldChar w:fldCharType="end"/>
      </w:r>
      <w:r w:rsidRPr="001347F6">
        <w:rPr>
          <w:sz w:val="24"/>
          <w:szCs w:val="24"/>
        </w:rPr>
        <w:t>; UNSC Res 295 (3 August 1971) UN Doc S/RES/295</w:t>
      </w:r>
      <w:r w:rsidR="003879D5" w:rsidRPr="001347F6">
        <w:rPr>
          <w:sz w:val="24"/>
          <w:szCs w:val="24"/>
        </w:rPr>
        <w:fldChar w:fldCharType="begin"/>
      </w:r>
      <w:r w:rsidR="003879D5" w:rsidRPr="001347F6">
        <w:rPr>
          <w:sz w:val="24"/>
          <w:szCs w:val="24"/>
        </w:rPr>
        <w:instrText xml:space="preserve"> TA \l "UNSC Res 295 (3 August 1971) UN Doc S/RES/295" \s "UN Doc S/RES/295" \c 3 </w:instrText>
      </w:r>
      <w:r w:rsidR="003879D5" w:rsidRPr="001347F6">
        <w:rPr>
          <w:sz w:val="24"/>
          <w:szCs w:val="24"/>
        </w:rPr>
        <w:fldChar w:fldCharType="end"/>
      </w:r>
      <w:r w:rsidR="003879D5" w:rsidRPr="001347F6">
        <w:rPr>
          <w:sz w:val="24"/>
          <w:szCs w:val="24"/>
        </w:rPr>
        <w:fldChar w:fldCharType="begin"/>
      </w:r>
      <w:r w:rsidR="003879D5" w:rsidRPr="001347F6">
        <w:rPr>
          <w:sz w:val="24"/>
          <w:szCs w:val="24"/>
        </w:rPr>
        <w:instrText xml:space="preserve"> TA \s "UN Doc S/RES/295" </w:instrText>
      </w:r>
      <w:r w:rsidR="003879D5" w:rsidRPr="001347F6">
        <w:rPr>
          <w:sz w:val="24"/>
          <w:szCs w:val="24"/>
        </w:rPr>
        <w:fldChar w:fldCharType="end"/>
      </w:r>
      <w:r w:rsidRPr="001347F6">
        <w:rPr>
          <w:sz w:val="24"/>
          <w:szCs w:val="24"/>
        </w:rPr>
        <w:t>.</w:t>
      </w:r>
    </w:p>
    <w:p w14:paraId="2AD8891B" w14:textId="77777777" w:rsidR="008C2177" w:rsidRPr="001347F6" w:rsidRDefault="008C2177" w:rsidP="001347F6">
      <w:pPr>
        <w:widowControl/>
        <w:jc w:val="both"/>
        <w:rPr>
          <w:sz w:val="24"/>
          <w:szCs w:val="24"/>
        </w:rPr>
      </w:pPr>
    </w:p>
  </w:footnote>
  <w:footnote w:id="198">
    <w:p w14:paraId="5010942B" w14:textId="3A9153E8"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UN Charter</w:t>
      </w:r>
      <w:r w:rsidR="000B5DB7" w:rsidRPr="001347F6">
        <w:rPr>
          <w:sz w:val="24"/>
          <w:szCs w:val="24"/>
        </w:rPr>
        <w:fldChar w:fldCharType="begin"/>
      </w:r>
      <w:r w:rsidR="000B5DB7" w:rsidRPr="001347F6">
        <w:rPr>
          <w:sz w:val="24"/>
          <w:szCs w:val="24"/>
        </w:rPr>
        <w:instrText xml:space="preserve"> TA \s "UN Charter" </w:instrText>
      </w:r>
      <w:r w:rsidR="000B5DB7" w:rsidRPr="001347F6">
        <w:rPr>
          <w:sz w:val="24"/>
          <w:szCs w:val="24"/>
        </w:rPr>
        <w:fldChar w:fldCharType="end"/>
      </w:r>
      <w:r w:rsidRPr="001347F6">
        <w:rPr>
          <w:sz w:val="24"/>
          <w:szCs w:val="24"/>
        </w:rPr>
        <w:t>,</w:t>
      </w:r>
      <w:r w:rsidR="00150089" w:rsidRPr="001347F6">
        <w:rPr>
          <w:sz w:val="24"/>
          <w:szCs w:val="24"/>
        </w:rPr>
        <w:t xml:space="preserve"> </w:t>
      </w:r>
      <w:r w:rsidRPr="001347F6">
        <w:rPr>
          <w:sz w:val="24"/>
          <w:szCs w:val="24"/>
        </w:rPr>
        <w:t>Art 34; UNSC Res 294 (15 July 1971) UN Doc S/RES/294</w:t>
      </w:r>
      <w:r w:rsidR="00F969B2" w:rsidRPr="001347F6">
        <w:rPr>
          <w:sz w:val="24"/>
          <w:szCs w:val="24"/>
        </w:rPr>
        <w:fldChar w:fldCharType="begin"/>
      </w:r>
      <w:r w:rsidR="00F969B2" w:rsidRPr="001347F6">
        <w:rPr>
          <w:sz w:val="24"/>
          <w:szCs w:val="24"/>
        </w:rPr>
        <w:instrText xml:space="preserve"> TA \l "UNSC Res 294 (15 July 1971) UN Doc S/RES/294" \s "UN Doc S/RES/294" \c 3 </w:instrText>
      </w:r>
      <w:r w:rsidR="00F969B2" w:rsidRPr="001347F6">
        <w:rPr>
          <w:sz w:val="24"/>
          <w:szCs w:val="24"/>
        </w:rPr>
        <w:fldChar w:fldCharType="end"/>
      </w:r>
      <w:r w:rsidRPr="001347F6">
        <w:rPr>
          <w:sz w:val="24"/>
          <w:szCs w:val="24"/>
        </w:rPr>
        <w:t>; UNSC Res 326 (2 February 1973) UN Doc S/RES/326</w:t>
      </w:r>
      <w:r w:rsidR="00F969B2" w:rsidRPr="001347F6">
        <w:rPr>
          <w:sz w:val="24"/>
          <w:szCs w:val="24"/>
        </w:rPr>
        <w:fldChar w:fldCharType="begin"/>
      </w:r>
      <w:r w:rsidR="00F969B2" w:rsidRPr="001347F6">
        <w:rPr>
          <w:sz w:val="24"/>
          <w:szCs w:val="24"/>
        </w:rPr>
        <w:instrText xml:space="preserve"> TA \l "UNSC Res 326 (2 February 1973) UN Doc S/RES/326" \s "UN Doc S/RES/326" \c 3 </w:instrText>
      </w:r>
      <w:r w:rsidR="00F969B2" w:rsidRPr="001347F6">
        <w:rPr>
          <w:sz w:val="24"/>
          <w:szCs w:val="24"/>
        </w:rPr>
        <w:fldChar w:fldCharType="end"/>
      </w:r>
      <w:r w:rsidRPr="001347F6">
        <w:rPr>
          <w:sz w:val="24"/>
          <w:szCs w:val="24"/>
        </w:rPr>
        <w:t>; UNGA ‘Declaration on Fact-Finding by the United Nations in the Field of the Maintenance of International Peace and Security’ (9 December 1991) UN Doc A/RES/45/59 [‘UNGA Res 4559’]</w:t>
      </w:r>
      <w:r w:rsidR="00F969B2" w:rsidRPr="001347F6">
        <w:rPr>
          <w:sz w:val="24"/>
          <w:szCs w:val="24"/>
        </w:rPr>
        <w:fldChar w:fldCharType="begin"/>
      </w:r>
      <w:r w:rsidR="00F969B2" w:rsidRPr="001347F6">
        <w:rPr>
          <w:sz w:val="24"/>
          <w:szCs w:val="24"/>
        </w:rPr>
        <w:instrText xml:space="preserve"> TA \l "UNGA ‘Declaration on Fact-Finding by the United Nations in the Field of the Maintenance of International Peace and Security’ (9 December 1991) UN Doc A/RES/45/59 [‘UNGA Res 4559’]" \s "UNGA Res 4559" \c 3 </w:instrText>
      </w:r>
      <w:r w:rsidR="00F969B2" w:rsidRPr="001347F6">
        <w:rPr>
          <w:sz w:val="24"/>
          <w:szCs w:val="24"/>
        </w:rPr>
        <w:fldChar w:fldCharType="end"/>
      </w:r>
      <w:r w:rsidR="00E83A3F" w:rsidRPr="001347F6">
        <w:rPr>
          <w:sz w:val="24"/>
          <w:szCs w:val="24"/>
        </w:rPr>
        <w:t>.</w:t>
      </w:r>
    </w:p>
    <w:p w14:paraId="27111AC7" w14:textId="77777777" w:rsidR="008C2177" w:rsidRPr="001347F6" w:rsidRDefault="008C2177" w:rsidP="001347F6">
      <w:pPr>
        <w:widowControl/>
        <w:jc w:val="both"/>
        <w:rPr>
          <w:sz w:val="24"/>
          <w:szCs w:val="24"/>
        </w:rPr>
      </w:pPr>
    </w:p>
  </w:footnote>
  <w:footnote w:id="199">
    <w:p w14:paraId="563D0003" w14:textId="5455BB7C" w:rsidR="008C2177" w:rsidRPr="00204F74" w:rsidRDefault="00000000" w:rsidP="001347F6">
      <w:pPr>
        <w:widowControl/>
        <w:jc w:val="both"/>
        <w:rPr>
          <w:sz w:val="24"/>
          <w:szCs w:val="24"/>
          <w:lang w:val="fr-CA"/>
        </w:rPr>
      </w:pPr>
      <w:r w:rsidRPr="001347F6">
        <w:rPr>
          <w:sz w:val="24"/>
          <w:szCs w:val="24"/>
          <w:vertAlign w:val="superscript"/>
        </w:rPr>
        <w:footnoteRef/>
      </w:r>
      <w:r w:rsidRPr="00204F74">
        <w:rPr>
          <w:sz w:val="24"/>
          <w:szCs w:val="24"/>
          <w:lang w:val="fr-CA"/>
        </w:rPr>
        <w:t xml:space="preserve"> Compromis, </w:t>
      </w:r>
      <w:r w:rsidR="00204F74" w:rsidRPr="00204F74">
        <w:rPr>
          <w:sz w:val="24"/>
          <w:szCs w:val="24"/>
          <w:lang w:val="fr-CA"/>
        </w:rPr>
        <w:t>Annex A</w:t>
      </w:r>
      <w:r w:rsidRPr="00204F74">
        <w:rPr>
          <w:sz w:val="24"/>
          <w:szCs w:val="24"/>
          <w:lang w:val="fr-CA"/>
        </w:rPr>
        <w:t>.</w:t>
      </w:r>
    </w:p>
    <w:p w14:paraId="7D364402" w14:textId="77777777" w:rsidR="008C2177" w:rsidRPr="00204F74" w:rsidRDefault="008C2177" w:rsidP="001347F6">
      <w:pPr>
        <w:widowControl/>
        <w:jc w:val="both"/>
        <w:rPr>
          <w:sz w:val="24"/>
          <w:szCs w:val="24"/>
          <w:lang w:val="fr-CA"/>
        </w:rPr>
      </w:pPr>
    </w:p>
  </w:footnote>
  <w:footnote w:id="200">
    <w:p w14:paraId="25DC0786" w14:textId="27B41A7C" w:rsidR="008C2177" w:rsidRPr="00204F74" w:rsidRDefault="00000000" w:rsidP="001347F6">
      <w:pPr>
        <w:widowControl/>
        <w:jc w:val="both"/>
        <w:rPr>
          <w:sz w:val="24"/>
          <w:szCs w:val="24"/>
          <w:lang w:val="fr-CA"/>
        </w:rPr>
      </w:pPr>
      <w:r w:rsidRPr="001347F6">
        <w:rPr>
          <w:sz w:val="24"/>
          <w:szCs w:val="24"/>
          <w:vertAlign w:val="superscript"/>
        </w:rPr>
        <w:footnoteRef/>
      </w:r>
      <w:r w:rsidRPr="00204F74">
        <w:rPr>
          <w:sz w:val="24"/>
          <w:szCs w:val="24"/>
          <w:lang w:val="fr-CA"/>
        </w:rPr>
        <w:t xml:space="preserve"> Compromis, </w:t>
      </w:r>
      <w:r w:rsidR="00204F74" w:rsidRPr="00204F74">
        <w:rPr>
          <w:sz w:val="24"/>
          <w:szCs w:val="24"/>
          <w:lang w:val="fr-CA"/>
        </w:rPr>
        <w:t>Annex A</w:t>
      </w:r>
      <w:r w:rsidRPr="00204F74">
        <w:rPr>
          <w:sz w:val="24"/>
          <w:szCs w:val="24"/>
          <w:lang w:val="fr-CA"/>
        </w:rPr>
        <w:t>.</w:t>
      </w:r>
    </w:p>
    <w:p w14:paraId="051970D5" w14:textId="77777777" w:rsidR="008C2177" w:rsidRPr="00204F74" w:rsidRDefault="008C2177" w:rsidP="001347F6">
      <w:pPr>
        <w:widowControl/>
        <w:jc w:val="both"/>
        <w:rPr>
          <w:sz w:val="24"/>
          <w:szCs w:val="24"/>
          <w:lang w:val="fr-CA"/>
        </w:rPr>
      </w:pPr>
    </w:p>
  </w:footnote>
  <w:footnote w:id="201">
    <w:p w14:paraId="7E3CAFF7" w14:textId="251BA359" w:rsid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w:t>
      </w:r>
      <w:r w:rsidRPr="001347F6">
        <w:rPr>
          <w:i/>
          <w:sz w:val="24"/>
          <w:szCs w:val="24"/>
        </w:rPr>
        <w:t xml:space="preserve">Accordance With International Law of the Unilateral Declaration of Independence in Respect of Kosovo </w:t>
      </w:r>
      <w:r w:rsidRPr="001347F6">
        <w:rPr>
          <w:sz w:val="24"/>
          <w:szCs w:val="24"/>
        </w:rPr>
        <w:t>(Advisory Opinion) [2010] [‘</w:t>
      </w:r>
      <w:r w:rsidRPr="001347F6">
        <w:rPr>
          <w:i/>
          <w:sz w:val="24"/>
          <w:szCs w:val="24"/>
        </w:rPr>
        <w:t>Kosovo Advisory Opinion’</w:t>
      </w:r>
      <w:r w:rsidRPr="001347F6">
        <w:rPr>
          <w:sz w:val="24"/>
          <w:szCs w:val="24"/>
        </w:rPr>
        <w:t>] ICJ Rep 442</w:t>
      </w:r>
      <w:r w:rsidR="00F969B2" w:rsidRPr="001347F6">
        <w:rPr>
          <w:sz w:val="24"/>
          <w:szCs w:val="24"/>
        </w:rPr>
        <w:fldChar w:fldCharType="begin"/>
      </w:r>
      <w:r w:rsidR="00F969B2" w:rsidRPr="001347F6">
        <w:rPr>
          <w:sz w:val="24"/>
          <w:szCs w:val="24"/>
        </w:rPr>
        <w:instrText xml:space="preserve"> TA \s "Kosovo Advisory Opinion" </w:instrText>
      </w:r>
      <w:r w:rsidR="00F969B2" w:rsidRPr="001347F6">
        <w:rPr>
          <w:sz w:val="24"/>
          <w:szCs w:val="24"/>
        </w:rPr>
        <w:fldChar w:fldCharType="end"/>
      </w:r>
      <w:r w:rsidRPr="001347F6">
        <w:rPr>
          <w:sz w:val="24"/>
          <w:szCs w:val="24"/>
        </w:rPr>
        <w:t xml:space="preserve"> [94]. </w:t>
      </w:r>
    </w:p>
    <w:p w14:paraId="789F2FC1" w14:textId="77777777" w:rsidR="001347F6" w:rsidRDefault="001347F6" w:rsidP="001347F6">
      <w:pPr>
        <w:widowControl/>
        <w:jc w:val="both"/>
        <w:rPr>
          <w:sz w:val="24"/>
          <w:szCs w:val="24"/>
        </w:rPr>
      </w:pPr>
    </w:p>
    <w:p w14:paraId="7E8072CB" w14:textId="77777777" w:rsidR="001347F6" w:rsidRPr="001347F6" w:rsidRDefault="001347F6" w:rsidP="001347F6">
      <w:pPr>
        <w:widowControl/>
        <w:jc w:val="both"/>
        <w:rPr>
          <w:sz w:val="24"/>
          <w:szCs w:val="24"/>
        </w:rPr>
      </w:pPr>
    </w:p>
  </w:footnote>
  <w:footnote w:id="202">
    <w:p w14:paraId="44876939" w14:textId="500B152E" w:rsidR="00811A68" w:rsidRPr="001347F6" w:rsidRDefault="00811A68" w:rsidP="001347F6">
      <w:pPr>
        <w:widowControl/>
        <w:jc w:val="both"/>
        <w:rPr>
          <w:sz w:val="24"/>
          <w:szCs w:val="24"/>
          <w:highlight w:val="white"/>
        </w:rPr>
      </w:pPr>
      <w:r w:rsidRPr="001347F6">
        <w:rPr>
          <w:sz w:val="24"/>
          <w:szCs w:val="24"/>
          <w:vertAlign w:val="superscript"/>
        </w:rPr>
        <w:footnoteRef/>
      </w:r>
      <w:r w:rsidRPr="001347F6">
        <w:rPr>
          <w:sz w:val="24"/>
          <w:szCs w:val="24"/>
          <w:highlight w:val="white"/>
        </w:rPr>
        <w:t xml:space="preserve"> </w:t>
      </w:r>
      <w:r w:rsidRPr="001347F6">
        <w:rPr>
          <w:i/>
          <w:sz w:val="24"/>
          <w:szCs w:val="24"/>
          <w:highlight w:val="white"/>
        </w:rPr>
        <w:t>Kosovo Advisory Opinion</w:t>
      </w:r>
      <w:r w:rsidRPr="001347F6">
        <w:rPr>
          <w:i/>
          <w:sz w:val="24"/>
          <w:szCs w:val="24"/>
          <w:highlight w:val="white"/>
        </w:rPr>
        <w:fldChar w:fldCharType="begin"/>
      </w:r>
      <w:r w:rsidRPr="001347F6">
        <w:rPr>
          <w:i/>
          <w:sz w:val="24"/>
          <w:szCs w:val="24"/>
          <w:highlight w:val="white"/>
        </w:rPr>
        <w:instrText xml:space="preserve"> TA \s "Kosovo Advisory Opinion" </w:instrText>
      </w:r>
      <w:r w:rsidRPr="001347F6">
        <w:rPr>
          <w:i/>
          <w:sz w:val="24"/>
          <w:szCs w:val="24"/>
          <w:highlight w:val="white"/>
        </w:rPr>
        <w:fldChar w:fldCharType="end"/>
      </w:r>
      <w:r w:rsidRPr="001347F6">
        <w:rPr>
          <w:sz w:val="24"/>
          <w:szCs w:val="24"/>
          <w:highlight w:val="white"/>
        </w:rPr>
        <w:t xml:space="preserve"> [94]; </w:t>
      </w:r>
      <w:r w:rsidRPr="001347F6">
        <w:rPr>
          <w:i/>
          <w:sz w:val="24"/>
          <w:szCs w:val="24"/>
          <w:highlight w:val="white"/>
        </w:rPr>
        <w:t>Namibia Advisory Opinion</w:t>
      </w:r>
      <w:r w:rsidRPr="001347F6">
        <w:rPr>
          <w:i/>
          <w:sz w:val="24"/>
          <w:szCs w:val="24"/>
          <w:highlight w:val="white"/>
        </w:rPr>
        <w:fldChar w:fldCharType="begin"/>
      </w:r>
      <w:r w:rsidRPr="001347F6">
        <w:rPr>
          <w:i/>
          <w:sz w:val="24"/>
          <w:szCs w:val="24"/>
          <w:highlight w:val="white"/>
        </w:rPr>
        <w:instrText xml:space="preserve"> TA \s "Namibia Advisory Opinion" </w:instrText>
      </w:r>
      <w:r w:rsidRPr="001347F6">
        <w:rPr>
          <w:i/>
          <w:sz w:val="24"/>
          <w:szCs w:val="24"/>
          <w:highlight w:val="white"/>
        </w:rPr>
        <w:fldChar w:fldCharType="end"/>
      </w:r>
      <w:r w:rsidRPr="001347F6">
        <w:rPr>
          <w:sz w:val="24"/>
          <w:szCs w:val="24"/>
          <w:highlight w:val="white"/>
        </w:rPr>
        <w:t xml:space="preserve"> [32]; VCLT,</w:t>
      </w:r>
      <w:r w:rsidR="000B5DB7" w:rsidRPr="001347F6">
        <w:rPr>
          <w:sz w:val="24"/>
          <w:szCs w:val="24"/>
          <w:highlight w:val="white"/>
        </w:rPr>
        <w:fldChar w:fldCharType="begin"/>
      </w:r>
      <w:r w:rsidR="000B5DB7" w:rsidRPr="001347F6">
        <w:rPr>
          <w:sz w:val="24"/>
          <w:szCs w:val="24"/>
          <w:highlight w:val="white"/>
        </w:rPr>
        <w:instrText xml:space="preserve"> TA \s "VCLT," </w:instrText>
      </w:r>
      <w:r w:rsidR="000B5DB7" w:rsidRPr="001347F6">
        <w:rPr>
          <w:sz w:val="24"/>
          <w:szCs w:val="24"/>
          <w:highlight w:val="white"/>
        </w:rPr>
        <w:fldChar w:fldCharType="end"/>
      </w:r>
      <w:r w:rsidR="000E212C" w:rsidRPr="001347F6">
        <w:rPr>
          <w:sz w:val="24"/>
          <w:szCs w:val="24"/>
          <w:highlight w:val="white"/>
        </w:rPr>
        <w:t xml:space="preserve"> </w:t>
      </w:r>
      <w:r w:rsidRPr="001347F6">
        <w:rPr>
          <w:sz w:val="24"/>
          <w:szCs w:val="24"/>
          <w:highlight w:val="white"/>
        </w:rPr>
        <w:t>Art 2 (1)(a); UNSC ‘</w:t>
      </w:r>
      <w:r w:rsidRPr="001347F6">
        <w:rPr>
          <w:i/>
          <w:sz w:val="24"/>
          <w:szCs w:val="24"/>
          <w:highlight w:val="white"/>
        </w:rPr>
        <w:t>Report And Recommendations Made By The Panel of Commissioners Concerning the Fifteenth Instalment of “E2” Claims</w:t>
      </w:r>
      <w:r w:rsidRPr="001347F6">
        <w:rPr>
          <w:sz w:val="24"/>
          <w:szCs w:val="24"/>
          <w:highlight w:val="white"/>
        </w:rPr>
        <w:t>’ (18 December 2003) UN Doc S/AC.26/2003/29</w:t>
      </w:r>
      <w:r w:rsidRPr="001347F6">
        <w:rPr>
          <w:sz w:val="24"/>
          <w:szCs w:val="24"/>
          <w:highlight w:val="white"/>
        </w:rPr>
        <w:fldChar w:fldCharType="begin"/>
      </w:r>
      <w:r w:rsidRPr="001347F6">
        <w:rPr>
          <w:sz w:val="24"/>
          <w:szCs w:val="24"/>
        </w:rPr>
        <w:instrText xml:space="preserve"> TA \l "</w:instrText>
      </w:r>
      <w:r w:rsidRPr="001347F6">
        <w:rPr>
          <w:sz w:val="24"/>
          <w:szCs w:val="24"/>
          <w:highlight w:val="white"/>
        </w:rPr>
        <w:instrText>UNSC ‘</w:instrText>
      </w:r>
      <w:r w:rsidRPr="001347F6">
        <w:rPr>
          <w:i/>
          <w:sz w:val="24"/>
          <w:szCs w:val="24"/>
          <w:highlight w:val="white"/>
        </w:rPr>
        <w:instrText xml:space="preserve">Report And Recommendations Made By The Panel of Commissioners Concerning the Fifteenth Instalment of </w:instrText>
      </w:r>
      <w:r w:rsidRPr="001347F6">
        <w:rPr>
          <w:sz w:val="24"/>
          <w:szCs w:val="24"/>
        </w:rPr>
        <w:instrText>\</w:instrText>
      </w:r>
      <w:r w:rsidRPr="001347F6">
        <w:rPr>
          <w:i/>
          <w:sz w:val="24"/>
          <w:szCs w:val="24"/>
          <w:highlight w:val="white"/>
        </w:rPr>
        <w:instrText>“E2</w:instrText>
      </w:r>
      <w:r w:rsidRPr="001347F6">
        <w:rPr>
          <w:sz w:val="24"/>
          <w:szCs w:val="24"/>
        </w:rPr>
        <w:instrText>\</w:instrText>
      </w:r>
      <w:r w:rsidRPr="001347F6">
        <w:rPr>
          <w:i/>
          <w:sz w:val="24"/>
          <w:szCs w:val="24"/>
          <w:highlight w:val="white"/>
        </w:rPr>
        <w:instrText>” Claims</w:instrText>
      </w:r>
      <w:r w:rsidRPr="001347F6">
        <w:rPr>
          <w:sz w:val="24"/>
          <w:szCs w:val="24"/>
          <w:highlight w:val="white"/>
        </w:rPr>
        <w:instrText>’ (18 December 2003) UN Doc S/AC.26/2003/29</w:instrText>
      </w:r>
      <w:r w:rsidRPr="001347F6">
        <w:rPr>
          <w:sz w:val="24"/>
          <w:szCs w:val="24"/>
        </w:rPr>
        <w:instrText xml:space="preserve">" \s "S/AC.26/2003/29" \c 3 </w:instrText>
      </w:r>
      <w:r w:rsidRPr="001347F6">
        <w:rPr>
          <w:sz w:val="24"/>
          <w:szCs w:val="24"/>
          <w:highlight w:val="white"/>
        </w:rPr>
        <w:fldChar w:fldCharType="end"/>
      </w:r>
      <w:r w:rsidRPr="001347F6">
        <w:rPr>
          <w:sz w:val="24"/>
          <w:szCs w:val="24"/>
          <w:highlight w:val="white"/>
        </w:rPr>
        <w:t xml:space="preserve"> [54]; </w:t>
      </w:r>
      <w:r w:rsidRPr="001347F6">
        <w:rPr>
          <w:i/>
          <w:sz w:val="24"/>
          <w:szCs w:val="24"/>
          <w:highlight w:val="white"/>
        </w:rPr>
        <w:t>Prosecutor v. Dusko Tadic</w:t>
      </w:r>
      <w:r w:rsidRPr="001347F6">
        <w:rPr>
          <w:sz w:val="24"/>
          <w:szCs w:val="24"/>
          <w:highlight w:val="white"/>
        </w:rPr>
        <w:t xml:space="preserve"> (Trial Chamber Decision) ICTY-94-1 (10 August 1995)</w:t>
      </w:r>
      <w:r w:rsidRPr="001347F6">
        <w:rPr>
          <w:sz w:val="24"/>
          <w:szCs w:val="24"/>
          <w:highlight w:val="white"/>
        </w:rPr>
        <w:fldChar w:fldCharType="begin"/>
      </w:r>
      <w:r w:rsidRPr="001347F6">
        <w:rPr>
          <w:sz w:val="24"/>
          <w:szCs w:val="24"/>
        </w:rPr>
        <w:instrText xml:space="preserve"> TA \l "</w:instrText>
      </w:r>
      <w:r w:rsidRPr="001347F6">
        <w:rPr>
          <w:i/>
          <w:sz w:val="24"/>
          <w:szCs w:val="24"/>
          <w:highlight w:val="white"/>
        </w:rPr>
        <w:instrText>Prosecutor v. Dusko Tadic</w:instrText>
      </w:r>
      <w:r w:rsidRPr="001347F6">
        <w:rPr>
          <w:sz w:val="24"/>
          <w:szCs w:val="24"/>
          <w:highlight w:val="white"/>
        </w:rPr>
        <w:instrText xml:space="preserve"> (Trial Chamber Decision) ICTY-94-1 (10 August 1995)</w:instrText>
      </w:r>
      <w:r w:rsidRPr="001347F6">
        <w:rPr>
          <w:sz w:val="24"/>
          <w:szCs w:val="24"/>
        </w:rPr>
        <w:instrText xml:space="preserve">" \s "Prosecutor v. Dusko Tadic" \c 4 </w:instrText>
      </w:r>
      <w:r w:rsidRPr="001347F6">
        <w:rPr>
          <w:sz w:val="24"/>
          <w:szCs w:val="24"/>
          <w:highlight w:val="white"/>
        </w:rPr>
        <w:fldChar w:fldCharType="end"/>
      </w:r>
      <w:r w:rsidRPr="001347F6">
        <w:rPr>
          <w:sz w:val="24"/>
          <w:szCs w:val="24"/>
          <w:highlight w:val="white"/>
        </w:rPr>
        <w:t xml:space="preserve"> [18]; </w:t>
      </w:r>
      <w:r w:rsidRPr="001347F6">
        <w:rPr>
          <w:i/>
          <w:sz w:val="24"/>
          <w:szCs w:val="24"/>
          <w:highlight w:val="white"/>
        </w:rPr>
        <w:t xml:space="preserve">Prosecutor v. Barayagwiza </w:t>
      </w:r>
      <w:r w:rsidRPr="001347F6">
        <w:rPr>
          <w:sz w:val="24"/>
          <w:szCs w:val="24"/>
          <w:highlight w:val="white"/>
        </w:rPr>
        <w:t>(Decision) ICTR-97-19-AR72 (3 November 1999)</w:t>
      </w:r>
      <w:r w:rsidRPr="001347F6">
        <w:rPr>
          <w:sz w:val="24"/>
          <w:szCs w:val="24"/>
          <w:highlight w:val="white"/>
        </w:rPr>
        <w:fldChar w:fldCharType="begin"/>
      </w:r>
      <w:r w:rsidRPr="001347F6">
        <w:rPr>
          <w:sz w:val="24"/>
          <w:szCs w:val="24"/>
        </w:rPr>
        <w:instrText xml:space="preserve"> TA \l "</w:instrText>
      </w:r>
      <w:r w:rsidRPr="001347F6">
        <w:rPr>
          <w:i/>
          <w:sz w:val="24"/>
          <w:szCs w:val="24"/>
          <w:highlight w:val="white"/>
        </w:rPr>
        <w:instrText xml:space="preserve">Prosecutor v. Barayagwiza </w:instrText>
      </w:r>
      <w:r w:rsidRPr="001347F6">
        <w:rPr>
          <w:sz w:val="24"/>
          <w:szCs w:val="24"/>
          <w:highlight w:val="white"/>
        </w:rPr>
        <w:instrText>(Decision) ICTR-97-19-AR72 (3 November 1999)</w:instrText>
      </w:r>
      <w:r w:rsidRPr="001347F6">
        <w:rPr>
          <w:sz w:val="24"/>
          <w:szCs w:val="24"/>
        </w:rPr>
        <w:instrText xml:space="preserve">" \s "Prosecutor v. Barayagwiza" \c 4 </w:instrText>
      </w:r>
      <w:r w:rsidRPr="001347F6">
        <w:rPr>
          <w:sz w:val="24"/>
          <w:szCs w:val="24"/>
          <w:highlight w:val="white"/>
        </w:rPr>
        <w:fldChar w:fldCharType="end"/>
      </w:r>
      <w:r w:rsidRPr="001347F6">
        <w:rPr>
          <w:sz w:val="24"/>
          <w:szCs w:val="24"/>
          <w:highlight w:val="white"/>
        </w:rPr>
        <w:t xml:space="preserve"> [46]; </w:t>
      </w:r>
      <w:r w:rsidRPr="001347F6">
        <w:rPr>
          <w:i/>
          <w:sz w:val="24"/>
          <w:szCs w:val="24"/>
          <w:highlight w:val="white"/>
        </w:rPr>
        <w:t>Kordić &amp; Čerkez case</w:t>
      </w:r>
      <w:r w:rsidRPr="001347F6">
        <w:rPr>
          <w:i/>
          <w:sz w:val="24"/>
          <w:szCs w:val="24"/>
          <w:highlight w:val="white"/>
        </w:rPr>
        <w:fldChar w:fldCharType="begin"/>
      </w:r>
      <w:r w:rsidRPr="001347F6">
        <w:rPr>
          <w:i/>
          <w:sz w:val="24"/>
          <w:szCs w:val="24"/>
          <w:highlight w:val="white"/>
        </w:rPr>
        <w:instrText xml:space="preserve"> TA \s "Kordić &amp; Čerkez case" </w:instrText>
      </w:r>
      <w:r w:rsidRPr="001347F6">
        <w:rPr>
          <w:i/>
          <w:sz w:val="24"/>
          <w:szCs w:val="24"/>
          <w:highlight w:val="white"/>
        </w:rPr>
        <w:fldChar w:fldCharType="end"/>
      </w:r>
      <w:r w:rsidRPr="001347F6">
        <w:rPr>
          <w:i/>
          <w:sz w:val="24"/>
          <w:szCs w:val="24"/>
          <w:highlight w:val="white"/>
        </w:rPr>
        <w:t xml:space="preserve">, </w:t>
      </w:r>
      <w:r w:rsidRPr="001347F6">
        <w:rPr>
          <w:sz w:val="24"/>
          <w:szCs w:val="24"/>
          <w:highlight w:val="white"/>
        </w:rPr>
        <w:t>[23].</w:t>
      </w:r>
    </w:p>
    <w:p w14:paraId="19DC8534" w14:textId="77777777" w:rsidR="00811A68" w:rsidRPr="001347F6" w:rsidRDefault="00811A68" w:rsidP="001347F6">
      <w:pPr>
        <w:widowControl/>
        <w:jc w:val="both"/>
        <w:rPr>
          <w:sz w:val="24"/>
          <w:szCs w:val="24"/>
        </w:rPr>
      </w:pPr>
    </w:p>
  </w:footnote>
  <w:footnote w:id="203">
    <w:p w14:paraId="3CA72BAD" w14:textId="2E238236"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VCLT,</w:t>
      </w:r>
      <w:r w:rsidR="000B5DB7" w:rsidRPr="001347F6">
        <w:rPr>
          <w:sz w:val="24"/>
          <w:szCs w:val="24"/>
        </w:rPr>
        <w:fldChar w:fldCharType="begin"/>
      </w:r>
      <w:r w:rsidR="000B5DB7" w:rsidRPr="001347F6">
        <w:rPr>
          <w:sz w:val="24"/>
          <w:szCs w:val="24"/>
        </w:rPr>
        <w:instrText xml:space="preserve"> TA \s "VCLT," </w:instrText>
      </w:r>
      <w:r w:rsidR="000B5DB7" w:rsidRPr="001347F6">
        <w:rPr>
          <w:sz w:val="24"/>
          <w:szCs w:val="24"/>
        </w:rPr>
        <w:fldChar w:fldCharType="end"/>
      </w:r>
      <w:r w:rsidR="000E212C" w:rsidRPr="001347F6">
        <w:rPr>
          <w:sz w:val="24"/>
          <w:szCs w:val="24"/>
        </w:rPr>
        <w:t xml:space="preserve"> </w:t>
      </w:r>
      <w:r w:rsidRPr="001347F6">
        <w:rPr>
          <w:sz w:val="24"/>
          <w:szCs w:val="24"/>
        </w:rPr>
        <w:t>Art 31.</w:t>
      </w:r>
    </w:p>
    <w:p w14:paraId="74437079" w14:textId="77777777" w:rsidR="008C2177" w:rsidRPr="001347F6" w:rsidRDefault="008C2177" w:rsidP="001347F6">
      <w:pPr>
        <w:widowControl/>
        <w:jc w:val="both"/>
        <w:rPr>
          <w:sz w:val="24"/>
          <w:szCs w:val="24"/>
        </w:rPr>
      </w:pPr>
    </w:p>
  </w:footnote>
  <w:footnote w:id="204">
    <w:p w14:paraId="5A3ECFFC" w14:textId="310D52E3" w:rsidR="008C2177" w:rsidRPr="001347F6" w:rsidRDefault="00000000" w:rsidP="001347F6">
      <w:pPr>
        <w:widowControl/>
        <w:jc w:val="both"/>
        <w:rPr>
          <w:sz w:val="24"/>
          <w:szCs w:val="24"/>
        </w:rPr>
      </w:pPr>
      <w:r w:rsidRPr="001347F6">
        <w:rPr>
          <w:sz w:val="24"/>
          <w:szCs w:val="24"/>
          <w:vertAlign w:val="superscript"/>
        </w:rPr>
        <w:footnoteRef/>
      </w:r>
      <w:r w:rsidRPr="001347F6">
        <w:rPr>
          <w:i/>
          <w:sz w:val="24"/>
          <w:szCs w:val="24"/>
        </w:rPr>
        <w:t xml:space="preserve"> Namibia Advisory Opinion</w:t>
      </w:r>
      <w:r w:rsidR="003879D5" w:rsidRPr="001347F6">
        <w:rPr>
          <w:i/>
          <w:sz w:val="24"/>
          <w:szCs w:val="24"/>
        </w:rPr>
        <w:fldChar w:fldCharType="begin"/>
      </w:r>
      <w:r w:rsidR="003879D5" w:rsidRPr="001347F6">
        <w:rPr>
          <w:i/>
          <w:sz w:val="24"/>
          <w:szCs w:val="24"/>
        </w:rPr>
        <w:instrText xml:space="preserve"> TA \s "Namibia Advisory Opinion" </w:instrText>
      </w:r>
      <w:r w:rsidR="003879D5" w:rsidRPr="001347F6">
        <w:rPr>
          <w:i/>
          <w:sz w:val="24"/>
          <w:szCs w:val="24"/>
        </w:rPr>
        <w:fldChar w:fldCharType="end"/>
      </w:r>
      <w:r w:rsidRPr="001347F6">
        <w:rPr>
          <w:i/>
          <w:sz w:val="24"/>
          <w:szCs w:val="24"/>
        </w:rPr>
        <w:t xml:space="preserve"> </w:t>
      </w:r>
      <w:r w:rsidRPr="001347F6">
        <w:rPr>
          <w:sz w:val="24"/>
          <w:szCs w:val="24"/>
        </w:rPr>
        <w:t xml:space="preserve">[114]; </w:t>
      </w:r>
      <w:r w:rsidRPr="001347F6">
        <w:rPr>
          <w:i/>
          <w:sz w:val="24"/>
          <w:szCs w:val="24"/>
        </w:rPr>
        <w:t>Kosovo Advisory Opinion</w:t>
      </w:r>
      <w:r w:rsidR="00F969B2" w:rsidRPr="001347F6">
        <w:rPr>
          <w:i/>
          <w:sz w:val="24"/>
          <w:szCs w:val="24"/>
        </w:rPr>
        <w:fldChar w:fldCharType="begin"/>
      </w:r>
      <w:r w:rsidR="00F969B2" w:rsidRPr="001347F6">
        <w:rPr>
          <w:i/>
          <w:sz w:val="24"/>
          <w:szCs w:val="24"/>
        </w:rPr>
        <w:instrText xml:space="preserve"> TA \s "Kosovo Advisory Opinion" </w:instrText>
      </w:r>
      <w:r w:rsidR="00F969B2" w:rsidRPr="001347F6">
        <w:rPr>
          <w:i/>
          <w:sz w:val="24"/>
          <w:szCs w:val="24"/>
        </w:rPr>
        <w:fldChar w:fldCharType="end"/>
      </w:r>
      <w:r w:rsidRPr="001347F6">
        <w:rPr>
          <w:sz w:val="24"/>
          <w:szCs w:val="24"/>
        </w:rPr>
        <w:t xml:space="preserve"> [94</w:t>
      </w:r>
      <w:r w:rsidR="00E83A3F" w:rsidRPr="001347F6">
        <w:rPr>
          <w:sz w:val="24"/>
          <w:szCs w:val="24"/>
        </w:rPr>
        <w:t>]</w:t>
      </w:r>
      <w:r w:rsidRPr="001347F6">
        <w:rPr>
          <w:sz w:val="24"/>
          <w:szCs w:val="24"/>
        </w:rPr>
        <w:t xml:space="preserve">; </w:t>
      </w:r>
      <w:r w:rsidRPr="001347F6">
        <w:rPr>
          <w:i/>
          <w:sz w:val="24"/>
          <w:szCs w:val="24"/>
        </w:rPr>
        <w:t xml:space="preserve">Prosecutor v Kordic and Cerkez </w:t>
      </w:r>
      <w:r w:rsidRPr="001347F6">
        <w:rPr>
          <w:sz w:val="24"/>
          <w:szCs w:val="24"/>
        </w:rPr>
        <w:t>(Decision on Appeals)</w:t>
      </w:r>
      <w:r w:rsidRPr="001347F6">
        <w:rPr>
          <w:i/>
          <w:sz w:val="24"/>
          <w:szCs w:val="24"/>
        </w:rPr>
        <w:t xml:space="preserve"> </w:t>
      </w:r>
      <w:r w:rsidRPr="001347F6">
        <w:rPr>
          <w:sz w:val="24"/>
          <w:szCs w:val="24"/>
        </w:rPr>
        <w:t>ICTY-95-14/2-AR73.6 (18 September 2000) [‘</w:t>
      </w:r>
      <w:r w:rsidRPr="001347F6">
        <w:rPr>
          <w:i/>
          <w:sz w:val="24"/>
          <w:szCs w:val="24"/>
        </w:rPr>
        <w:t>Kordic and Cerkez case</w:t>
      </w:r>
      <w:r w:rsidRPr="001347F6">
        <w:rPr>
          <w:sz w:val="24"/>
          <w:szCs w:val="24"/>
        </w:rPr>
        <w:t>]</w:t>
      </w:r>
      <w:r w:rsidR="003E09D0" w:rsidRPr="001347F6">
        <w:rPr>
          <w:sz w:val="24"/>
          <w:szCs w:val="24"/>
        </w:rPr>
        <w:fldChar w:fldCharType="begin"/>
      </w:r>
      <w:r w:rsidR="003E09D0" w:rsidRPr="001347F6">
        <w:rPr>
          <w:sz w:val="24"/>
          <w:szCs w:val="24"/>
        </w:rPr>
        <w:instrText xml:space="preserve"> TA \l "</w:instrText>
      </w:r>
      <w:r w:rsidR="003E09D0" w:rsidRPr="001347F6">
        <w:rPr>
          <w:i/>
          <w:sz w:val="24"/>
          <w:szCs w:val="24"/>
        </w:rPr>
        <w:instrText xml:space="preserve">Prosecutor v Kordic and Cerkez </w:instrText>
      </w:r>
      <w:r w:rsidR="003E09D0" w:rsidRPr="001347F6">
        <w:rPr>
          <w:sz w:val="24"/>
          <w:szCs w:val="24"/>
        </w:rPr>
        <w:instrText>(Decision on Appeals)</w:instrText>
      </w:r>
      <w:r w:rsidR="003E09D0" w:rsidRPr="001347F6">
        <w:rPr>
          <w:i/>
          <w:sz w:val="24"/>
          <w:szCs w:val="24"/>
        </w:rPr>
        <w:instrText xml:space="preserve"> </w:instrText>
      </w:r>
      <w:r w:rsidR="003E09D0" w:rsidRPr="001347F6">
        <w:rPr>
          <w:sz w:val="24"/>
          <w:szCs w:val="24"/>
        </w:rPr>
        <w:instrText>ICTY-95-14/2-AR73.6 (18 September 2000) [‘</w:instrText>
      </w:r>
      <w:r w:rsidR="003E09D0" w:rsidRPr="001347F6">
        <w:rPr>
          <w:i/>
          <w:sz w:val="24"/>
          <w:szCs w:val="24"/>
        </w:rPr>
        <w:instrText>Kordic and Cerkez case</w:instrText>
      </w:r>
      <w:r w:rsidR="003E09D0" w:rsidRPr="001347F6">
        <w:rPr>
          <w:sz w:val="24"/>
          <w:szCs w:val="24"/>
        </w:rPr>
        <w:instrText xml:space="preserve">]" \s "Kordić &amp; Čerkez case" \c 4 </w:instrText>
      </w:r>
      <w:r w:rsidR="003E09D0" w:rsidRPr="001347F6">
        <w:rPr>
          <w:sz w:val="24"/>
          <w:szCs w:val="24"/>
        </w:rPr>
        <w:fldChar w:fldCharType="end"/>
      </w:r>
      <w:r w:rsidRPr="001347F6">
        <w:rPr>
          <w:sz w:val="24"/>
          <w:szCs w:val="24"/>
        </w:rPr>
        <w:t xml:space="preserve"> [22].</w:t>
      </w:r>
    </w:p>
    <w:p w14:paraId="36BDE478" w14:textId="77777777" w:rsidR="008C2177" w:rsidRPr="001347F6" w:rsidRDefault="008C2177" w:rsidP="001347F6">
      <w:pPr>
        <w:widowControl/>
        <w:jc w:val="both"/>
        <w:rPr>
          <w:sz w:val="24"/>
          <w:szCs w:val="24"/>
        </w:rPr>
      </w:pPr>
    </w:p>
  </w:footnote>
  <w:footnote w:id="205">
    <w:p w14:paraId="2DF294FB" w14:textId="00DA34DE" w:rsidR="008C2177" w:rsidRPr="001347F6" w:rsidRDefault="00000000" w:rsidP="001347F6">
      <w:pPr>
        <w:widowControl/>
        <w:jc w:val="both"/>
        <w:rPr>
          <w:sz w:val="24"/>
          <w:szCs w:val="24"/>
        </w:rPr>
      </w:pPr>
      <w:r w:rsidRPr="001347F6">
        <w:rPr>
          <w:sz w:val="24"/>
          <w:szCs w:val="24"/>
          <w:vertAlign w:val="superscript"/>
        </w:rPr>
        <w:footnoteRef/>
      </w:r>
      <w:r w:rsidR="00E83A3F" w:rsidRPr="001347F6">
        <w:rPr>
          <w:sz w:val="24"/>
          <w:szCs w:val="24"/>
        </w:rPr>
        <w:t>The American Heritage Dictionary of the English Language, (Call upon, 2022), &lt;https://www.ahdictionary.com/word/search.html?q=call&gt; accessed 11 January 2024</w:t>
      </w:r>
      <w:r w:rsidR="00E83A3F" w:rsidRPr="001347F6">
        <w:rPr>
          <w:sz w:val="24"/>
          <w:szCs w:val="24"/>
        </w:rPr>
        <w:fldChar w:fldCharType="begin"/>
      </w:r>
      <w:r w:rsidR="00E83A3F" w:rsidRPr="001347F6">
        <w:rPr>
          <w:sz w:val="24"/>
          <w:szCs w:val="24"/>
        </w:rPr>
        <w:instrText xml:space="preserve"> TA \l "</w:instrText>
      </w:r>
      <w:r w:rsidR="00E83A3F" w:rsidRPr="001347F6">
        <w:rPr>
          <w:sz w:val="24"/>
          <w:szCs w:val="24"/>
        </w:rPr>
        <w:instrText>The American Heritage Dictionary of the English Language, (Call upon, 2022), &lt;https://www.ahdictionary.com/word/search.html?q=call&gt; accessed 11 January 2024</w:instrText>
      </w:r>
      <w:r w:rsidR="00E83A3F" w:rsidRPr="001347F6">
        <w:rPr>
          <w:sz w:val="24"/>
          <w:szCs w:val="24"/>
        </w:rPr>
        <w:instrText xml:space="preserve">" \s "The American Heritage Dictionary of the English Language, (Call upon, 2022), &lt;https://www.ahdictionary.com/word/search.html?q=call&gt; accessed 11 January 2024" \c 7 </w:instrText>
      </w:r>
      <w:r w:rsidR="00E83A3F" w:rsidRPr="001347F6">
        <w:rPr>
          <w:sz w:val="24"/>
          <w:szCs w:val="24"/>
        </w:rPr>
        <w:fldChar w:fldCharType="end"/>
      </w:r>
      <w:r w:rsidRPr="001347F6">
        <w:rPr>
          <w:sz w:val="24"/>
          <w:szCs w:val="24"/>
        </w:rPr>
        <w:t>; Fry, J.</w:t>
      </w:r>
      <w:r w:rsidR="00F969B2" w:rsidRPr="001347F6">
        <w:rPr>
          <w:sz w:val="24"/>
          <w:szCs w:val="24"/>
        </w:rPr>
        <w:t>,</w:t>
      </w:r>
      <w:r w:rsidRPr="001347F6">
        <w:rPr>
          <w:sz w:val="24"/>
          <w:szCs w:val="24"/>
        </w:rPr>
        <w:t xml:space="preserve"> </w:t>
      </w:r>
      <w:r w:rsidRPr="001347F6">
        <w:rPr>
          <w:i/>
          <w:sz w:val="24"/>
          <w:szCs w:val="24"/>
        </w:rPr>
        <w:t>Dionysian Disarmament: Security Council WMD Coercive Disarmament Measures and Their Legal Implications</w:t>
      </w:r>
      <w:r w:rsidRPr="001347F6">
        <w:rPr>
          <w:sz w:val="24"/>
          <w:szCs w:val="24"/>
        </w:rPr>
        <w:t xml:space="preserve"> (MJIL 2008)</w:t>
      </w:r>
      <w:r w:rsidR="00F969B2" w:rsidRPr="001347F6">
        <w:rPr>
          <w:sz w:val="24"/>
          <w:szCs w:val="24"/>
        </w:rPr>
        <w:fldChar w:fldCharType="begin"/>
      </w:r>
      <w:r w:rsidR="00F969B2" w:rsidRPr="001347F6">
        <w:rPr>
          <w:sz w:val="24"/>
          <w:szCs w:val="24"/>
        </w:rPr>
        <w:instrText xml:space="preserve"> TA \l "Fry, J. </w:instrText>
      </w:r>
      <w:r w:rsidR="00F969B2" w:rsidRPr="001347F6">
        <w:rPr>
          <w:i/>
          <w:sz w:val="24"/>
          <w:szCs w:val="24"/>
        </w:rPr>
        <w:instrText>Dionysian Disarmament: Security Council WMD Coercive Disarmament Measures and Their Legal Implications</w:instrText>
      </w:r>
      <w:r w:rsidR="00F969B2" w:rsidRPr="001347F6">
        <w:rPr>
          <w:sz w:val="24"/>
          <w:szCs w:val="24"/>
        </w:rPr>
        <w:instrText xml:space="preserve"> (MJIL 2008)" \s "Fry, J.," \c 6 </w:instrText>
      </w:r>
      <w:r w:rsidR="00F969B2" w:rsidRPr="001347F6">
        <w:rPr>
          <w:sz w:val="24"/>
          <w:szCs w:val="24"/>
        </w:rPr>
        <w:fldChar w:fldCharType="end"/>
      </w:r>
      <w:r w:rsidRPr="001347F6">
        <w:rPr>
          <w:sz w:val="24"/>
          <w:szCs w:val="24"/>
        </w:rPr>
        <w:t>, pp. 230; Orakhelashvili, A.</w:t>
      </w:r>
      <w:r w:rsidR="00F969B2" w:rsidRPr="001347F6">
        <w:rPr>
          <w:sz w:val="24"/>
          <w:szCs w:val="24"/>
        </w:rPr>
        <w:t>,</w:t>
      </w:r>
      <w:r w:rsidRPr="001347F6">
        <w:rPr>
          <w:sz w:val="24"/>
          <w:szCs w:val="24"/>
        </w:rPr>
        <w:t xml:space="preserve"> </w:t>
      </w:r>
      <w:r w:rsidRPr="001347F6">
        <w:rPr>
          <w:i/>
          <w:sz w:val="24"/>
          <w:szCs w:val="24"/>
        </w:rPr>
        <w:t>Collective Security</w:t>
      </w:r>
      <w:r w:rsidRPr="001347F6">
        <w:rPr>
          <w:sz w:val="24"/>
          <w:szCs w:val="24"/>
        </w:rPr>
        <w:t xml:space="preserve"> (OUP 2011)</w:t>
      </w:r>
      <w:r w:rsidR="00F969B2" w:rsidRPr="001347F6">
        <w:rPr>
          <w:sz w:val="24"/>
          <w:szCs w:val="24"/>
        </w:rPr>
        <w:fldChar w:fldCharType="begin"/>
      </w:r>
      <w:r w:rsidR="00F969B2" w:rsidRPr="001347F6">
        <w:rPr>
          <w:sz w:val="24"/>
          <w:szCs w:val="24"/>
        </w:rPr>
        <w:instrText xml:space="preserve"> TA \l "Orakhelashvili, A. </w:instrText>
      </w:r>
      <w:r w:rsidR="00F969B2" w:rsidRPr="001347F6">
        <w:rPr>
          <w:i/>
          <w:sz w:val="24"/>
          <w:szCs w:val="24"/>
        </w:rPr>
        <w:instrText>Collective Security</w:instrText>
      </w:r>
      <w:r w:rsidR="00F969B2" w:rsidRPr="001347F6">
        <w:rPr>
          <w:sz w:val="24"/>
          <w:szCs w:val="24"/>
        </w:rPr>
        <w:instrText xml:space="preserve"> (OUP 2011)" \s "Orakhelashvili, A.," \c 6 </w:instrText>
      </w:r>
      <w:r w:rsidR="00F969B2" w:rsidRPr="001347F6">
        <w:rPr>
          <w:sz w:val="24"/>
          <w:szCs w:val="24"/>
        </w:rPr>
        <w:fldChar w:fldCharType="end"/>
      </w:r>
      <w:r w:rsidRPr="001347F6">
        <w:rPr>
          <w:sz w:val="24"/>
          <w:szCs w:val="24"/>
        </w:rPr>
        <w:t xml:space="preserve"> pp. 37. </w:t>
      </w:r>
    </w:p>
    <w:p w14:paraId="4E4A1C4D" w14:textId="77777777" w:rsidR="008C2177" w:rsidRPr="001347F6" w:rsidRDefault="008C2177" w:rsidP="001347F6">
      <w:pPr>
        <w:widowControl/>
        <w:jc w:val="both"/>
        <w:rPr>
          <w:sz w:val="24"/>
          <w:szCs w:val="24"/>
        </w:rPr>
      </w:pPr>
    </w:p>
  </w:footnote>
  <w:footnote w:id="206">
    <w:p w14:paraId="0C2C9BE1" w14:textId="00584ED1"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vertAlign w:val="superscript"/>
        </w:rPr>
        <w:t xml:space="preserve">  </w:t>
      </w:r>
      <w:r w:rsidRPr="001347F6">
        <w:rPr>
          <w:i/>
          <w:sz w:val="24"/>
          <w:szCs w:val="24"/>
        </w:rPr>
        <w:t>Namibia Advisory Opinion</w:t>
      </w:r>
      <w:r w:rsidR="003879D5" w:rsidRPr="001347F6">
        <w:rPr>
          <w:i/>
          <w:sz w:val="24"/>
          <w:szCs w:val="24"/>
        </w:rPr>
        <w:fldChar w:fldCharType="begin"/>
      </w:r>
      <w:r w:rsidR="003879D5" w:rsidRPr="001347F6">
        <w:rPr>
          <w:i/>
          <w:sz w:val="24"/>
          <w:szCs w:val="24"/>
        </w:rPr>
        <w:instrText xml:space="preserve"> TA \s "Namibia Advisory Opinion" </w:instrText>
      </w:r>
      <w:r w:rsidR="003879D5" w:rsidRPr="001347F6">
        <w:rPr>
          <w:i/>
          <w:sz w:val="24"/>
          <w:szCs w:val="24"/>
        </w:rPr>
        <w:fldChar w:fldCharType="end"/>
      </w:r>
      <w:r w:rsidRPr="001347F6">
        <w:rPr>
          <w:sz w:val="24"/>
          <w:szCs w:val="24"/>
        </w:rPr>
        <w:t xml:space="preserve"> [115].</w:t>
      </w:r>
    </w:p>
    <w:p w14:paraId="2664BB6A" w14:textId="77777777" w:rsidR="008C2177" w:rsidRPr="001347F6" w:rsidRDefault="008C2177" w:rsidP="001347F6">
      <w:pPr>
        <w:widowControl/>
        <w:jc w:val="both"/>
        <w:rPr>
          <w:sz w:val="24"/>
          <w:szCs w:val="24"/>
        </w:rPr>
      </w:pPr>
    </w:p>
  </w:footnote>
  <w:footnote w:id="207">
    <w:p w14:paraId="01769F96" w14:textId="24807014"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Compromis, </w:t>
      </w:r>
      <w:r w:rsidR="00204F74">
        <w:rPr>
          <w:sz w:val="24"/>
          <w:szCs w:val="24"/>
        </w:rPr>
        <w:t>Annex A</w:t>
      </w:r>
      <w:r w:rsidRPr="001347F6">
        <w:rPr>
          <w:sz w:val="24"/>
          <w:szCs w:val="24"/>
        </w:rPr>
        <w:t>.</w:t>
      </w:r>
    </w:p>
    <w:p w14:paraId="3ED4FB4F" w14:textId="77777777" w:rsidR="008C2177" w:rsidRPr="001347F6" w:rsidRDefault="008C2177" w:rsidP="001347F6">
      <w:pPr>
        <w:widowControl/>
        <w:jc w:val="both"/>
        <w:rPr>
          <w:sz w:val="24"/>
          <w:szCs w:val="24"/>
        </w:rPr>
      </w:pPr>
    </w:p>
  </w:footnote>
  <w:footnote w:id="208">
    <w:p w14:paraId="0BB9D9EC" w14:textId="5420DFC6"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VCLT,</w:t>
      </w:r>
      <w:r w:rsidR="000B5DB7" w:rsidRPr="001347F6">
        <w:rPr>
          <w:sz w:val="24"/>
          <w:szCs w:val="24"/>
        </w:rPr>
        <w:fldChar w:fldCharType="begin"/>
      </w:r>
      <w:r w:rsidR="000B5DB7" w:rsidRPr="001347F6">
        <w:rPr>
          <w:sz w:val="24"/>
          <w:szCs w:val="24"/>
        </w:rPr>
        <w:instrText xml:space="preserve"> TA \s "VCLT," </w:instrText>
      </w:r>
      <w:r w:rsidR="000B5DB7" w:rsidRPr="001347F6">
        <w:rPr>
          <w:sz w:val="24"/>
          <w:szCs w:val="24"/>
        </w:rPr>
        <w:fldChar w:fldCharType="end"/>
      </w:r>
      <w:r w:rsidR="000E212C" w:rsidRPr="001347F6">
        <w:rPr>
          <w:sz w:val="24"/>
          <w:szCs w:val="24"/>
        </w:rPr>
        <w:t xml:space="preserve"> </w:t>
      </w:r>
      <w:r w:rsidRPr="001347F6">
        <w:rPr>
          <w:sz w:val="24"/>
          <w:szCs w:val="24"/>
        </w:rPr>
        <w:t>Art 31(1).</w:t>
      </w:r>
    </w:p>
    <w:p w14:paraId="73E9F7F7" w14:textId="77777777" w:rsidR="008C2177" w:rsidRPr="001347F6" w:rsidRDefault="008C2177" w:rsidP="001347F6">
      <w:pPr>
        <w:widowControl/>
        <w:jc w:val="both"/>
        <w:rPr>
          <w:sz w:val="24"/>
          <w:szCs w:val="24"/>
        </w:rPr>
      </w:pPr>
    </w:p>
  </w:footnote>
  <w:footnote w:id="209">
    <w:p w14:paraId="29C40AA8" w14:textId="2F278394"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w:t>
      </w:r>
      <w:r w:rsidRPr="001347F6">
        <w:rPr>
          <w:i/>
          <w:sz w:val="24"/>
          <w:szCs w:val="24"/>
        </w:rPr>
        <w:t xml:space="preserve">Sovereignty over Pulau Ligitan and Pulau Sipadan </w:t>
      </w:r>
      <w:r w:rsidRPr="001347F6">
        <w:rPr>
          <w:sz w:val="24"/>
          <w:szCs w:val="24"/>
        </w:rPr>
        <w:t>(</w:t>
      </w:r>
      <w:r w:rsidRPr="001347F6">
        <w:rPr>
          <w:i/>
          <w:sz w:val="24"/>
          <w:szCs w:val="24"/>
        </w:rPr>
        <w:t>Indonesia v Malaysia</w:t>
      </w:r>
      <w:r w:rsidRPr="001347F6">
        <w:rPr>
          <w:sz w:val="24"/>
          <w:szCs w:val="24"/>
        </w:rPr>
        <w:t>) (Merits) [2002] ICJ Rep 652</w:t>
      </w:r>
      <w:r w:rsidR="003E09D0" w:rsidRPr="001347F6">
        <w:rPr>
          <w:sz w:val="24"/>
          <w:szCs w:val="24"/>
        </w:rPr>
        <w:fldChar w:fldCharType="begin"/>
      </w:r>
      <w:r w:rsidR="003E09D0" w:rsidRPr="001347F6">
        <w:rPr>
          <w:sz w:val="24"/>
          <w:szCs w:val="24"/>
        </w:rPr>
        <w:instrText xml:space="preserve"> TA \l "</w:instrText>
      </w:r>
      <w:r w:rsidR="003E09D0" w:rsidRPr="001347F6">
        <w:rPr>
          <w:i/>
          <w:sz w:val="24"/>
          <w:szCs w:val="24"/>
        </w:rPr>
        <w:instrText xml:space="preserve">Sovereignty over Pulau Ligitan and Pulau Sipadan </w:instrText>
      </w:r>
      <w:r w:rsidR="003E09D0" w:rsidRPr="001347F6">
        <w:rPr>
          <w:sz w:val="24"/>
          <w:szCs w:val="24"/>
        </w:rPr>
        <w:instrText>(</w:instrText>
      </w:r>
      <w:r w:rsidR="003E09D0" w:rsidRPr="001347F6">
        <w:rPr>
          <w:i/>
          <w:sz w:val="24"/>
          <w:szCs w:val="24"/>
        </w:rPr>
        <w:instrText>Indonesia v Malaysia</w:instrText>
      </w:r>
      <w:r w:rsidR="003E09D0" w:rsidRPr="001347F6">
        <w:rPr>
          <w:sz w:val="24"/>
          <w:szCs w:val="24"/>
        </w:rPr>
        <w:instrText xml:space="preserve">) (Merits) [2002] ICJ Rep 652" \s "Sovereignty over Pulau Ligitan and Pulau Sipadan" \c 1 </w:instrText>
      </w:r>
      <w:r w:rsidR="003E09D0" w:rsidRPr="001347F6">
        <w:rPr>
          <w:sz w:val="24"/>
          <w:szCs w:val="24"/>
        </w:rPr>
        <w:fldChar w:fldCharType="end"/>
      </w:r>
      <w:r w:rsidRPr="001347F6">
        <w:rPr>
          <w:sz w:val="24"/>
          <w:szCs w:val="24"/>
        </w:rPr>
        <w:t xml:space="preserve"> [51]; </w:t>
      </w:r>
      <w:r w:rsidRPr="001347F6">
        <w:rPr>
          <w:i/>
          <w:sz w:val="24"/>
          <w:szCs w:val="24"/>
        </w:rPr>
        <w:t>Military and Paramilitary Activities in and against Nicaragua</w:t>
      </w:r>
      <w:r w:rsidRPr="001347F6">
        <w:rPr>
          <w:sz w:val="24"/>
          <w:szCs w:val="24"/>
        </w:rPr>
        <w:t xml:space="preserve"> (</w:t>
      </w:r>
      <w:r w:rsidRPr="001347F6">
        <w:rPr>
          <w:i/>
          <w:sz w:val="24"/>
          <w:szCs w:val="24"/>
        </w:rPr>
        <w:t>Nicaragua v. USA</w:t>
      </w:r>
      <w:r w:rsidRPr="001347F6">
        <w:rPr>
          <w:sz w:val="24"/>
          <w:szCs w:val="24"/>
        </w:rPr>
        <w:t>) (Judgment) [1986] ICJ Rep 138</w:t>
      </w:r>
      <w:r w:rsidR="003E09D0" w:rsidRPr="001347F6">
        <w:rPr>
          <w:sz w:val="24"/>
          <w:szCs w:val="24"/>
        </w:rPr>
        <w:fldChar w:fldCharType="begin"/>
      </w:r>
      <w:r w:rsidR="003E09D0" w:rsidRPr="001347F6">
        <w:rPr>
          <w:sz w:val="24"/>
          <w:szCs w:val="24"/>
        </w:rPr>
        <w:instrText xml:space="preserve"> TA \l "</w:instrText>
      </w:r>
      <w:r w:rsidR="003E09D0" w:rsidRPr="001347F6">
        <w:rPr>
          <w:i/>
          <w:sz w:val="24"/>
          <w:szCs w:val="24"/>
        </w:rPr>
        <w:instrText>Military and Paramilitary Activities in and against Nicaragua</w:instrText>
      </w:r>
      <w:r w:rsidR="003E09D0" w:rsidRPr="001347F6">
        <w:rPr>
          <w:sz w:val="24"/>
          <w:szCs w:val="24"/>
        </w:rPr>
        <w:instrText xml:space="preserve"> (</w:instrText>
      </w:r>
      <w:r w:rsidR="003E09D0" w:rsidRPr="001347F6">
        <w:rPr>
          <w:i/>
          <w:sz w:val="24"/>
          <w:szCs w:val="24"/>
        </w:rPr>
        <w:instrText>Nicaragua v. USA</w:instrText>
      </w:r>
      <w:r w:rsidR="003E09D0" w:rsidRPr="001347F6">
        <w:rPr>
          <w:sz w:val="24"/>
          <w:szCs w:val="24"/>
        </w:rPr>
        <w:instrText xml:space="preserve">) (Judgment) [1986] ICJ Rep 138" \s "Military and Paramilitary Activities in and against Nicaragua" \c 1 </w:instrText>
      </w:r>
      <w:r w:rsidR="003E09D0" w:rsidRPr="001347F6">
        <w:rPr>
          <w:sz w:val="24"/>
          <w:szCs w:val="24"/>
        </w:rPr>
        <w:fldChar w:fldCharType="end"/>
      </w:r>
      <w:r w:rsidRPr="001347F6">
        <w:rPr>
          <w:sz w:val="24"/>
          <w:szCs w:val="24"/>
        </w:rPr>
        <w:t xml:space="preserve"> [275].</w:t>
      </w:r>
    </w:p>
    <w:p w14:paraId="60D9A712" w14:textId="77777777" w:rsidR="008C2177" w:rsidRPr="001347F6" w:rsidRDefault="008C2177" w:rsidP="001347F6">
      <w:pPr>
        <w:widowControl/>
        <w:jc w:val="both"/>
        <w:rPr>
          <w:sz w:val="24"/>
          <w:szCs w:val="24"/>
        </w:rPr>
      </w:pPr>
    </w:p>
  </w:footnote>
  <w:footnote w:id="210">
    <w:p w14:paraId="18EB47CA" w14:textId="4900F1DC" w:rsidR="008C2177" w:rsidRPr="001347F6" w:rsidRDefault="00000000" w:rsidP="001347F6">
      <w:pPr>
        <w:widowControl/>
        <w:jc w:val="both"/>
        <w:rPr>
          <w:sz w:val="24"/>
          <w:szCs w:val="24"/>
          <w:lang w:val="fr-CA"/>
        </w:rPr>
      </w:pPr>
      <w:r w:rsidRPr="001347F6">
        <w:rPr>
          <w:sz w:val="24"/>
          <w:szCs w:val="24"/>
          <w:vertAlign w:val="superscript"/>
        </w:rPr>
        <w:footnoteRef/>
      </w:r>
      <w:r w:rsidRPr="001347F6">
        <w:rPr>
          <w:sz w:val="24"/>
          <w:szCs w:val="24"/>
          <w:lang w:val="fr-CA"/>
        </w:rPr>
        <w:t xml:space="preserve"> Compromis, </w:t>
      </w:r>
      <w:r w:rsidR="00204F74">
        <w:rPr>
          <w:sz w:val="24"/>
          <w:szCs w:val="24"/>
          <w:lang w:val="fr-CA"/>
        </w:rPr>
        <w:t>Annex A</w:t>
      </w:r>
      <w:r w:rsidRPr="001347F6">
        <w:rPr>
          <w:sz w:val="24"/>
          <w:szCs w:val="24"/>
          <w:lang w:val="fr-CA"/>
        </w:rPr>
        <w:t xml:space="preserve">. </w:t>
      </w:r>
    </w:p>
    <w:p w14:paraId="152DD997" w14:textId="77777777" w:rsidR="008C2177" w:rsidRPr="001347F6" w:rsidRDefault="008C2177" w:rsidP="001347F6">
      <w:pPr>
        <w:widowControl/>
        <w:jc w:val="both"/>
        <w:rPr>
          <w:sz w:val="24"/>
          <w:szCs w:val="24"/>
          <w:lang w:val="fr-CA"/>
        </w:rPr>
      </w:pPr>
    </w:p>
  </w:footnote>
  <w:footnote w:id="211">
    <w:p w14:paraId="1B013B17" w14:textId="1CF79410" w:rsidR="008C2177" w:rsidRPr="001347F6" w:rsidRDefault="00000000" w:rsidP="001347F6">
      <w:pPr>
        <w:widowControl/>
        <w:jc w:val="both"/>
        <w:rPr>
          <w:sz w:val="24"/>
          <w:szCs w:val="24"/>
          <w:lang w:val="fr-CA"/>
        </w:rPr>
      </w:pPr>
      <w:r w:rsidRPr="001347F6">
        <w:rPr>
          <w:sz w:val="24"/>
          <w:szCs w:val="24"/>
          <w:vertAlign w:val="superscript"/>
        </w:rPr>
        <w:footnoteRef/>
      </w:r>
      <w:r w:rsidRPr="001347F6">
        <w:rPr>
          <w:sz w:val="24"/>
          <w:szCs w:val="24"/>
          <w:lang w:val="fr-CA"/>
        </w:rPr>
        <w:t xml:space="preserve"> Compromis, </w:t>
      </w:r>
      <w:r w:rsidR="00204F74">
        <w:rPr>
          <w:sz w:val="24"/>
          <w:szCs w:val="24"/>
          <w:lang w:val="fr-CA"/>
        </w:rPr>
        <w:t>Annex A</w:t>
      </w:r>
      <w:r w:rsidRPr="001347F6">
        <w:rPr>
          <w:sz w:val="24"/>
          <w:szCs w:val="24"/>
          <w:lang w:val="fr-CA"/>
        </w:rPr>
        <w:t xml:space="preserve">. </w:t>
      </w:r>
    </w:p>
    <w:p w14:paraId="1944B4E7" w14:textId="77777777" w:rsidR="008C2177" w:rsidRPr="001347F6" w:rsidRDefault="008C2177" w:rsidP="001347F6">
      <w:pPr>
        <w:widowControl/>
        <w:jc w:val="both"/>
        <w:rPr>
          <w:sz w:val="24"/>
          <w:szCs w:val="24"/>
          <w:lang w:val="fr-CA"/>
        </w:rPr>
      </w:pPr>
    </w:p>
  </w:footnote>
  <w:footnote w:id="212">
    <w:p w14:paraId="7BDCC9B2" w14:textId="21FC5A05" w:rsidR="008C2177" w:rsidRPr="001347F6" w:rsidRDefault="00000000" w:rsidP="001347F6">
      <w:pPr>
        <w:widowControl/>
        <w:jc w:val="both"/>
        <w:rPr>
          <w:sz w:val="24"/>
          <w:szCs w:val="24"/>
          <w:lang w:val="fr-CA"/>
        </w:rPr>
      </w:pPr>
      <w:r w:rsidRPr="001347F6">
        <w:rPr>
          <w:sz w:val="24"/>
          <w:szCs w:val="24"/>
          <w:vertAlign w:val="superscript"/>
        </w:rPr>
        <w:footnoteRef/>
      </w:r>
      <w:r w:rsidRPr="001347F6">
        <w:rPr>
          <w:sz w:val="24"/>
          <w:szCs w:val="24"/>
          <w:lang w:val="fr-CA"/>
        </w:rPr>
        <w:t xml:space="preserve"> Compromis, </w:t>
      </w:r>
      <w:r w:rsidR="00204F74">
        <w:rPr>
          <w:sz w:val="24"/>
          <w:szCs w:val="24"/>
          <w:lang w:val="fr-CA"/>
        </w:rPr>
        <w:t>Annex A</w:t>
      </w:r>
      <w:r w:rsidRPr="001347F6">
        <w:rPr>
          <w:sz w:val="24"/>
          <w:szCs w:val="24"/>
          <w:lang w:val="fr-CA"/>
        </w:rPr>
        <w:t>.</w:t>
      </w:r>
    </w:p>
    <w:p w14:paraId="6032B250" w14:textId="77777777" w:rsidR="008C2177" w:rsidRPr="001347F6" w:rsidRDefault="008C2177" w:rsidP="001347F6">
      <w:pPr>
        <w:widowControl/>
        <w:jc w:val="both"/>
        <w:rPr>
          <w:sz w:val="24"/>
          <w:szCs w:val="24"/>
          <w:lang w:val="fr-CA"/>
        </w:rPr>
      </w:pPr>
    </w:p>
  </w:footnote>
  <w:footnote w:id="213">
    <w:p w14:paraId="6B3E7564" w14:textId="5255F86F" w:rsidR="008C2177"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w:t>
      </w:r>
      <w:r w:rsidRPr="001347F6">
        <w:rPr>
          <w:i/>
          <w:sz w:val="24"/>
          <w:szCs w:val="24"/>
        </w:rPr>
        <w:t>Kosovo Advisory Opinion</w:t>
      </w:r>
      <w:r w:rsidR="00F969B2" w:rsidRPr="001347F6">
        <w:rPr>
          <w:i/>
          <w:sz w:val="24"/>
          <w:szCs w:val="24"/>
        </w:rPr>
        <w:fldChar w:fldCharType="begin"/>
      </w:r>
      <w:r w:rsidR="00F969B2" w:rsidRPr="001347F6">
        <w:rPr>
          <w:i/>
          <w:sz w:val="24"/>
          <w:szCs w:val="24"/>
        </w:rPr>
        <w:instrText xml:space="preserve"> TA \s "Kosovo Advisory Opinion" </w:instrText>
      </w:r>
      <w:r w:rsidR="00F969B2" w:rsidRPr="001347F6">
        <w:rPr>
          <w:i/>
          <w:sz w:val="24"/>
          <w:szCs w:val="24"/>
        </w:rPr>
        <w:fldChar w:fldCharType="end"/>
      </w:r>
      <w:r w:rsidRPr="001347F6">
        <w:rPr>
          <w:sz w:val="24"/>
          <w:szCs w:val="24"/>
        </w:rPr>
        <w:t xml:space="preserve"> [94]; ILC ‘Report of the International Law Commission on the work of its sixty-fifth session’ (6 May–7 June and 8 July–9 August 2013) UN Doc A/68/10</w:t>
      </w:r>
      <w:r w:rsidR="003E09D0" w:rsidRPr="001347F6">
        <w:rPr>
          <w:sz w:val="24"/>
          <w:szCs w:val="24"/>
        </w:rPr>
        <w:fldChar w:fldCharType="begin"/>
      </w:r>
      <w:r w:rsidR="003E09D0" w:rsidRPr="001347F6">
        <w:rPr>
          <w:sz w:val="24"/>
          <w:szCs w:val="24"/>
        </w:rPr>
        <w:instrText xml:space="preserve"> TA \l "ILC ‘Report of the International Law Commission on the work of its sixty-fifth session’ (6 May–7 June and 8 July–9 August 2013) UN Doc A/68/10" \s "A/68/10" \c 7 </w:instrText>
      </w:r>
      <w:r w:rsidR="003E09D0" w:rsidRPr="001347F6">
        <w:rPr>
          <w:sz w:val="24"/>
          <w:szCs w:val="24"/>
        </w:rPr>
        <w:fldChar w:fldCharType="end"/>
      </w:r>
      <w:r w:rsidRPr="001347F6">
        <w:rPr>
          <w:sz w:val="24"/>
          <w:szCs w:val="24"/>
        </w:rPr>
        <w:t xml:space="preserve"> [22]; HRComm ‘Communication No 1472/2006- Sayadi and Vinck’ (29 December 2008) UN Doc CCPR/C/94/D/1472/2006</w:t>
      </w:r>
      <w:r w:rsidR="003E09D0" w:rsidRPr="001347F6">
        <w:rPr>
          <w:sz w:val="24"/>
          <w:szCs w:val="24"/>
        </w:rPr>
        <w:fldChar w:fldCharType="begin"/>
      </w:r>
      <w:r w:rsidR="003E09D0" w:rsidRPr="001347F6">
        <w:rPr>
          <w:sz w:val="24"/>
          <w:szCs w:val="24"/>
        </w:rPr>
        <w:instrText xml:space="preserve"> TA \l "HRComm ‘Communication No 1472/2006- Sayadi and Vinck’ (29 December 2008) UN Doc CCPR/C/94/D/1472/2006" \s "CCPR/C/94/D/1472/2006" \c 3 </w:instrText>
      </w:r>
      <w:r w:rsidR="003E09D0" w:rsidRPr="001347F6">
        <w:rPr>
          <w:sz w:val="24"/>
          <w:szCs w:val="24"/>
        </w:rPr>
        <w:fldChar w:fldCharType="end"/>
      </w:r>
      <w:r w:rsidRPr="001347F6">
        <w:rPr>
          <w:sz w:val="24"/>
          <w:szCs w:val="24"/>
        </w:rPr>
        <w:t>, [37].</w:t>
      </w:r>
    </w:p>
    <w:p w14:paraId="7E7B0775" w14:textId="77777777" w:rsidR="00B05DB3" w:rsidRPr="001347F6" w:rsidRDefault="00B05DB3" w:rsidP="001347F6">
      <w:pPr>
        <w:widowControl/>
        <w:jc w:val="both"/>
        <w:rPr>
          <w:sz w:val="24"/>
          <w:szCs w:val="24"/>
        </w:rPr>
      </w:pPr>
    </w:p>
  </w:footnote>
  <w:footnote w:id="214">
    <w:p w14:paraId="562A700B" w14:textId="644C676D" w:rsidR="008C2177" w:rsidRPr="001347F6"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VCLT,</w:t>
      </w:r>
      <w:r w:rsidR="000B5DB7" w:rsidRPr="001347F6">
        <w:rPr>
          <w:sz w:val="24"/>
          <w:szCs w:val="24"/>
        </w:rPr>
        <w:fldChar w:fldCharType="begin"/>
      </w:r>
      <w:r w:rsidR="000B5DB7" w:rsidRPr="001347F6">
        <w:rPr>
          <w:sz w:val="24"/>
          <w:szCs w:val="24"/>
        </w:rPr>
        <w:instrText xml:space="preserve"> TA \s "VCLT," </w:instrText>
      </w:r>
      <w:r w:rsidR="000B5DB7" w:rsidRPr="001347F6">
        <w:rPr>
          <w:sz w:val="24"/>
          <w:szCs w:val="24"/>
        </w:rPr>
        <w:fldChar w:fldCharType="end"/>
      </w:r>
      <w:r w:rsidR="000E212C" w:rsidRPr="001347F6">
        <w:rPr>
          <w:sz w:val="24"/>
          <w:szCs w:val="24"/>
        </w:rPr>
        <w:t xml:space="preserve"> </w:t>
      </w:r>
      <w:r w:rsidRPr="001347F6">
        <w:rPr>
          <w:sz w:val="24"/>
          <w:szCs w:val="24"/>
        </w:rPr>
        <w:t xml:space="preserve">Art 31 (1); </w:t>
      </w:r>
      <w:r w:rsidRPr="001347F6">
        <w:rPr>
          <w:i/>
          <w:sz w:val="24"/>
          <w:szCs w:val="24"/>
        </w:rPr>
        <w:t>Kosovo Advisory Opinion</w:t>
      </w:r>
      <w:r w:rsidR="00F969B2" w:rsidRPr="001347F6">
        <w:rPr>
          <w:i/>
          <w:sz w:val="24"/>
          <w:szCs w:val="24"/>
        </w:rPr>
        <w:fldChar w:fldCharType="begin"/>
      </w:r>
      <w:r w:rsidR="00F969B2" w:rsidRPr="001347F6">
        <w:rPr>
          <w:i/>
          <w:sz w:val="24"/>
          <w:szCs w:val="24"/>
        </w:rPr>
        <w:instrText xml:space="preserve"> TA \s "Kosovo Advisory Opinion" </w:instrText>
      </w:r>
      <w:r w:rsidR="00F969B2" w:rsidRPr="001347F6">
        <w:rPr>
          <w:i/>
          <w:sz w:val="24"/>
          <w:szCs w:val="24"/>
        </w:rPr>
        <w:fldChar w:fldCharType="end"/>
      </w:r>
      <w:r w:rsidRPr="001347F6">
        <w:rPr>
          <w:sz w:val="24"/>
          <w:szCs w:val="24"/>
        </w:rPr>
        <w:t xml:space="preserve">, [94]; Wood, M., </w:t>
      </w:r>
      <w:r w:rsidRPr="001347F6">
        <w:rPr>
          <w:i/>
          <w:sz w:val="24"/>
          <w:szCs w:val="24"/>
        </w:rPr>
        <w:t xml:space="preserve">The Interpretation of Security Council Resolutions </w:t>
      </w:r>
      <w:r w:rsidRPr="001347F6">
        <w:rPr>
          <w:sz w:val="24"/>
          <w:szCs w:val="24"/>
        </w:rPr>
        <w:t>(OUP 1998)</w:t>
      </w:r>
      <w:r w:rsidR="003E09D0" w:rsidRPr="001347F6">
        <w:rPr>
          <w:sz w:val="24"/>
          <w:szCs w:val="24"/>
        </w:rPr>
        <w:fldChar w:fldCharType="begin"/>
      </w:r>
      <w:r w:rsidR="003E09D0" w:rsidRPr="001347F6">
        <w:rPr>
          <w:sz w:val="24"/>
          <w:szCs w:val="24"/>
        </w:rPr>
        <w:instrText xml:space="preserve"> TA \l "Wood, M., </w:instrText>
      </w:r>
      <w:r w:rsidR="003E09D0" w:rsidRPr="001347F6">
        <w:rPr>
          <w:i/>
          <w:sz w:val="24"/>
          <w:szCs w:val="24"/>
        </w:rPr>
        <w:instrText xml:space="preserve">The Interpretation of Security Council Resolutions </w:instrText>
      </w:r>
      <w:r w:rsidR="003E09D0" w:rsidRPr="001347F6">
        <w:rPr>
          <w:sz w:val="24"/>
          <w:szCs w:val="24"/>
        </w:rPr>
        <w:instrText xml:space="preserve">(OUP 1998)" \s "Wood, M.," \c 6 </w:instrText>
      </w:r>
      <w:r w:rsidR="003E09D0" w:rsidRPr="001347F6">
        <w:rPr>
          <w:sz w:val="24"/>
          <w:szCs w:val="24"/>
        </w:rPr>
        <w:fldChar w:fldCharType="end"/>
      </w:r>
      <w:r w:rsidRPr="001347F6">
        <w:rPr>
          <w:sz w:val="24"/>
          <w:szCs w:val="24"/>
        </w:rPr>
        <w:t xml:space="preserve"> pp. 83-84.</w:t>
      </w:r>
    </w:p>
    <w:p w14:paraId="3519336F" w14:textId="77777777" w:rsidR="008C2177" w:rsidRPr="001347F6" w:rsidRDefault="008C2177" w:rsidP="001347F6">
      <w:pPr>
        <w:widowControl/>
        <w:jc w:val="both"/>
        <w:rPr>
          <w:sz w:val="24"/>
          <w:szCs w:val="24"/>
        </w:rPr>
      </w:pPr>
    </w:p>
  </w:footnote>
  <w:footnote w:id="215">
    <w:p w14:paraId="22D6F035" w14:textId="64F781D8" w:rsidR="008C2177" w:rsidRPr="001347F6" w:rsidRDefault="00000000" w:rsidP="001347F6">
      <w:pPr>
        <w:widowControl/>
        <w:jc w:val="both"/>
        <w:rPr>
          <w:sz w:val="24"/>
          <w:szCs w:val="24"/>
        </w:rPr>
      </w:pPr>
      <w:r w:rsidRPr="001347F6">
        <w:rPr>
          <w:sz w:val="24"/>
          <w:szCs w:val="24"/>
          <w:vertAlign w:val="superscript"/>
        </w:rPr>
        <w:footnoteRef/>
      </w:r>
      <w:r w:rsidRPr="001347F6">
        <w:rPr>
          <w:i/>
          <w:sz w:val="24"/>
          <w:szCs w:val="24"/>
        </w:rPr>
        <w:t xml:space="preserve"> Kosovo Advisory Opinion</w:t>
      </w:r>
      <w:r w:rsidR="00F969B2" w:rsidRPr="001347F6">
        <w:rPr>
          <w:i/>
          <w:sz w:val="24"/>
          <w:szCs w:val="24"/>
        </w:rPr>
        <w:fldChar w:fldCharType="begin"/>
      </w:r>
      <w:r w:rsidR="00F969B2" w:rsidRPr="001347F6">
        <w:rPr>
          <w:i/>
          <w:sz w:val="24"/>
          <w:szCs w:val="24"/>
        </w:rPr>
        <w:instrText xml:space="preserve"> TA \s "Kosovo Advisory Opinion" </w:instrText>
      </w:r>
      <w:r w:rsidR="00F969B2" w:rsidRPr="001347F6">
        <w:rPr>
          <w:i/>
          <w:sz w:val="24"/>
          <w:szCs w:val="24"/>
        </w:rPr>
        <w:fldChar w:fldCharType="end"/>
      </w:r>
      <w:r w:rsidRPr="001347F6">
        <w:rPr>
          <w:i/>
          <w:sz w:val="24"/>
          <w:szCs w:val="24"/>
        </w:rPr>
        <w:t xml:space="preserve"> </w:t>
      </w:r>
      <w:r w:rsidRPr="001347F6">
        <w:rPr>
          <w:sz w:val="24"/>
          <w:szCs w:val="24"/>
        </w:rPr>
        <w:t>[94].</w:t>
      </w:r>
    </w:p>
    <w:p w14:paraId="2AC9F4A7" w14:textId="77777777" w:rsidR="008C2177" w:rsidRPr="001347F6" w:rsidRDefault="008C2177" w:rsidP="001347F6">
      <w:pPr>
        <w:widowControl/>
        <w:jc w:val="both"/>
        <w:rPr>
          <w:sz w:val="24"/>
          <w:szCs w:val="24"/>
        </w:rPr>
      </w:pPr>
    </w:p>
  </w:footnote>
  <w:footnote w:id="216">
    <w:p w14:paraId="20BB6484" w14:textId="6B502B87" w:rsidR="008C2177" w:rsidRPr="001347F6" w:rsidRDefault="00000000" w:rsidP="001347F6">
      <w:pPr>
        <w:widowControl/>
        <w:jc w:val="both"/>
        <w:rPr>
          <w:sz w:val="24"/>
          <w:szCs w:val="24"/>
        </w:rPr>
      </w:pPr>
      <w:r w:rsidRPr="001347F6">
        <w:rPr>
          <w:sz w:val="24"/>
          <w:szCs w:val="24"/>
          <w:vertAlign w:val="superscript"/>
        </w:rPr>
        <w:footnoteRef/>
      </w:r>
      <w:r w:rsidRPr="001347F6">
        <w:rPr>
          <w:i/>
          <w:sz w:val="24"/>
          <w:szCs w:val="24"/>
        </w:rPr>
        <w:t xml:space="preserve"> </w:t>
      </w:r>
      <w:r w:rsidRPr="001347F6">
        <w:rPr>
          <w:i/>
          <w:sz w:val="24"/>
          <w:szCs w:val="24"/>
          <w:highlight w:val="white"/>
        </w:rPr>
        <w:t>Namibia Advisory Opinion</w:t>
      </w:r>
      <w:r w:rsidR="003879D5" w:rsidRPr="001347F6">
        <w:rPr>
          <w:i/>
          <w:sz w:val="24"/>
          <w:szCs w:val="24"/>
          <w:highlight w:val="white"/>
        </w:rPr>
        <w:fldChar w:fldCharType="begin"/>
      </w:r>
      <w:r w:rsidR="003879D5" w:rsidRPr="001347F6">
        <w:rPr>
          <w:i/>
          <w:sz w:val="24"/>
          <w:szCs w:val="24"/>
          <w:highlight w:val="white"/>
        </w:rPr>
        <w:instrText xml:space="preserve"> TA \s "Namibia Advisory Opinion" </w:instrText>
      </w:r>
      <w:r w:rsidR="003879D5" w:rsidRPr="001347F6">
        <w:rPr>
          <w:i/>
          <w:sz w:val="24"/>
          <w:szCs w:val="24"/>
          <w:highlight w:val="white"/>
        </w:rPr>
        <w:fldChar w:fldCharType="end"/>
      </w:r>
      <w:r w:rsidRPr="001347F6">
        <w:rPr>
          <w:i/>
          <w:sz w:val="24"/>
          <w:szCs w:val="24"/>
          <w:highlight w:val="white"/>
        </w:rPr>
        <w:t xml:space="preserve"> </w:t>
      </w:r>
      <w:r w:rsidRPr="001347F6">
        <w:rPr>
          <w:sz w:val="24"/>
          <w:szCs w:val="24"/>
          <w:highlight w:val="white"/>
        </w:rPr>
        <w:t>[114]; HRComm ‘Communication No 1472/2006- Sayadi and Vinck’ (29 December 2008) UN Doc CCPR/C/94/D/1472/2006</w:t>
      </w:r>
      <w:r w:rsidR="003E09D0" w:rsidRPr="001347F6">
        <w:rPr>
          <w:sz w:val="24"/>
          <w:szCs w:val="24"/>
          <w:highlight w:val="white"/>
        </w:rPr>
        <w:fldChar w:fldCharType="begin"/>
      </w:r>
      <w:r w:rsidR="003E09D0" w:rsidRPr="001347F6">
        <w:rPr>
          <w:sz w:val="24"/>
          <w:szCs w:val="24"/>
          <w:highlight w:val="white"/>
        </w:rPr>
        <w:instrText xml:space="preserve"> TA \s "CCPR/C/94/D/1472/2006" </w:instrText>
      </w:r>
      <w:r w:rsidR="003E09D0" w:rsidRPr="001347F6">
        <w:rPr>
          <w:sz w:val="24"/>
          <w:szCs w:val="24"/>
          <w:highlight w:val="white"/>
        </w:rPr>
        <w:fldChar w:fldCharType="end"/>
      </w:r>
      <w:r w:rsidRPr="001347F6">
        <w:rPr>
          <w:sz w:val="24"/>
          <w:szCs w:val="24"/>
          <w:highlight w:val="white"/>
        </w:rPr>
        <w:t>, [37].</w:t>
      </w:r>
    </w:p>
    <w:p w14:paraId="500BD81F" w14:textId="77777777" w:rsidR="008C2177" w:rsidRPr="001347F6" w:rsidRDefault="008C2177" w:rsidP="001347F6">
      <w:pPr>
        <w:widowControl/>
        <w:jc w:val="both"/>
        <w:rPr>
          <w:sz w:val="24"/>
          <w:szCs w:val="24"/>
        </w:rPr>
      </w:pPr>
    </w:p>
  </w:footnote>
  <w:footnote w:id="217">
    <w:p w14:paraId="716EF1A1" w14:textId="77777777" w:rsidR="008C2177" w:rsidRPr="001347F6" w:rsidRDefault="00000000" w:rsidP="001347F6">
      <w:pPr>
        <w:widowControl/>
        <w:jc w:val="both"/>
        <w:rPr>
          <w:sz w:val="24"/>
          <w:szCs w:val="24"/>
          <w:lang w:val="es-CO"/>
        </w:rPr>
      </w:pPr>
      <w:r w:rsidRPr="001347F6">
        <w:rPr>
          <w:sz w:val="24"/>
          <w:szCs w:val="24"/>
          <w:vertAlign w:val="superscript"/>
        </w:rPr>
        <w:footnoteRef/>
      </w:r>
      <w:r w:rsidRPr="001347F6">
        <w:rPr>
          <w:sz w:val="24"/>
          <w:szCs w:val="24"/>
          <w:lang w:val="es-CO"/>
        </w:rPr>
        <w:t xml:space="preserve"> Compromis, [48]. </w:t>
      </w:r>
    </w:p>
    <w:p w14:paraId="48389B8F" w14:textId="77777777" w:rsidR="008C2177" w:rsidRPr="001347F6" w:rsidRDefault="008C2177" w:rsidP="001347F6">
      <w:pPr>
        <w:widowControl/>
        <w:jc w:val="both"/>
        <w:rPr>
          <w:sz w:val="24"/>
          <w:szCs w:val="24"/>
          <w:lang w:val="es-CO"/>
        </w:rPr>
      </w:pPr>
    </w:p>
  </w:footnote>
  <w:footnote w:id="218">
    <w:p w14:paraId="3EB49058" w14:textId="77777777" w:rsidR="008C2177" w:rsidRPr="001347F6" w:rsidRDefault="00000000" w:rsidP="001347F6">
      <w:pPr>
        <w:widowControl/>
        <w:jc w:val="both"/>
        <w:rPr>
          <w:sz w:val="24"/>
          <w:szCs w:val="24"/>
          <w:lang w:val="es-CO"/>
        </w:rPr>
      </w:pPr>
      <w:r w:rsidRPr="001347F6">
        <w:rPr>
          <w:sz w:val="24"/>
          <w:szCs w:val="24"/>
          <w:vertAlign w:val="superscript"/>
        </w:rPr>
        <w:footnoteRef/>
      </w:r>
      <w:r w:rsidRPr="001347F6">
        <w:rPr>
          <w:sz w:val="24"/>
          <w:szCs w:val="24"/>
          <w:lang w:val="es-CO"/>
        </w:rPr>
        <w:t xml:space="preserve"> Compromis, [52].</w:t>
      </w:r>
    </w:p>
    <w:p w14:paraId="3012602E" w14:textId="77777777" w:rsidR="008C2177" w:rsidRPr="001347F6" w:rsidRDefault="008C2177" w:rsidP="001347F6">
      <w:pPr>
        <w:widowControl/>
        <w:jc w:val="both"/>
        <w:rPr>
          <w:sz w:val="24"/>
          <w:szCs w:val="24"/>
          <w:lang w:val="es-CO"/>
        </w:rPr>
      </w:pPr>
    </w:p>
  </w:footnote>
  <w:footnote w:id="219">
    <w:p w14:paraId="4C0080E1" w14:textId="77777777" w:rsidR="008C2177" w:rsidRPr="001347F6" w:rsidRDefault="00000000" w:rsidP="001347F6">
      <w:pPr>
        <w:widowControl/>
        <w:jc w:val="both"/>
        <w:rPr>
          <w:sz w:val="24"/>
          <w:szCs w:val="24"/>
          <w:lang w:val="es-CO"/>
        </w:rPr>
      </w:pPr>
      <w:r w:rsidRPr="001347F6">
        <w:rPr>
          <w:sz w:val="24"/>
          <w:szCs w:val="24"/>
          <w:vertAlign w:val="superscript"/>
        </w:rPr>
        <w:footnoteRef/>
      </w:r>
      <w:r w:rsidRPr="001347F6">
        <w:rPr>
          <w:sz w:val="24"/>
          <w:szCs w:val="24"/>
          <w:lang w:val="es-CO"/>
        </w:rPr>
        <w:t xml:space="preserve"> Compromis, [57].</w:t>
      </w:r>
    </w:p>
    <w:p w14:paraId="4A5D0C1B" w14:textId="77777777" w:rsidR="008C2177" w:rsidRPr="001347F6" w:rsidRDefault="008C2177" w:rsidP="001347F6">
      <w:pPr>
        <w:widowControl/>
        <w:jc w:val="both"/>
        <w:rPr>
          <w:sz w:val="24"/>
          <w:szCs w:val="24"/>
          <w:lang w:val="es-CO"/>
        </w:rPr>
      </w:pPr>
    </w:p>
  </w:footnote>
  <w:footnote w:id="220">
    <w:p w14:paraId="6EA655E0" w14:textId="77777777" w:rsidR="008C2177" w:rsidRPr="001347F6" w:rsidRDefault="00000000" w:rsidP="001347F6">
      <w:pPr>
        <w:widowControl/>
        <w:jc w:val="both"/>
        <w:rPr>
          <w:sz w:val="24"/>
          <w:szCs w:val="24"/>
          <w:lang w:val="es-CO"/>
        </w:rPr>
      </w:pPr>
      <w:r w:rsidRPr="001347F6">
        <w:rPr>
          <w:sz w:val="24"/>
          <w:szCs w:val="24"/>
          <w:vertAlign w:val="superscript"/>
        </w:rPr>
        <w:footnoteRef/>
      </w:r>
      <w:r w:rsidRPr="001347F6">
        <w:rPr>
          <w:sz w:val="24"/>
          <w:szCs w:val="24"/>
          <w:lang w:val="es-CO"/>
        </w:rPr>
        <w:t xml:space="preserve"> Compromis, [53].</w:t>
      </w:r>
    </w:p>
    <w:p w14:paraId="7E396C0E" w14:textId="77777777" w:rsidR="008C2177" w:rsidRPr="001347F6" w:rsidRDefault="008C2177" w:rsidP="001347F6">
      <w:pPr>
        <w:widowControl/>
        <w:jc w:val="both"/>
        <w:rPr>
          <w:sz w:val="24"/>
          <w:szCs w:val="24"/>
          <w:lang w:val="es-CO"/>
        </w:rPr>
      </w:pPr>
    </w:p>
  </w:footnote>
  <w:footnote w:id="221">
    <w:p w14:paraId="74747E2F" w14:textId="585A8E8D" w:rsidR="008C2177" w:rsidRDefault="00000000" w:rsidP="001347F6">
      <w:pPr>
        <w:widowControl/>
        <w:jc w:val="both"/>
        <w:rPr>
          <w:sz w:val="24"/>
          <w:szCs w:val="24"/>
        </w:rPr>
      </w:pPr>
      <w:r w:rsidRPr="001347F6">
        <w:rPr>
          <w:sz w:val="24"/>
          <w:szCs w:val="24"/>
          <w:vertAlign w:val="superscript"/>
        </w:rPr>
        <w:footnoteRef/>
      </w:r>
      <w:r w:rsidRPr="001347F6">
        <w:rPr>
          <w:sz w:val="24"/>
          <w:szCs w:val="24"/>
        </w:rPr>
        <w:t xml:space="preserve"> Compromis, [59].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1B9"/>
    <w:multiLevelType w:val="multilevel"/>
    <w:tmpl w:val="08C6D7D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5A704BA"/>
    <w:multiLevelType w:val="multilevel"/>
    <w:tmpl w:val="00E6EE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9478C5"/>
    <w:multiLevelType w:val="multilevel"/>
    <w:tmpl w:val="08C6D7D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C055E79"/>
    <w:multiLevelType w:val="multilevel"/>
    <w:tmpl w:val="08C6D7D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2EA518B"/>
    <w:multiLevelType w:val="multilevel"/>
    <w:tmpl w:val="07A24A8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57C6942"/>
    <w:multiLevelType w:val="multilevel"/>
    <w:tmpl w:val="C7C086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A196557"/>
    <w:multiLevelType w:val="multilevel"/>
    <w:tmpl w:val="02BAE6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1B8C7E77"/>
    <w:multiLevelType w:val="multilevel"/>
    <w:tmpl w:val="DCE862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C4F32A4"/>
    <w:multiLevelType w:val="multilevel"/>
    <w:tmpl w:val="18666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3453F41"/>
    <w:multiLevelType w:val="hybridMultilevel"/>
    <w:tmpl w:val="92CE7CB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70B14DC"/>
    <w:multiLevelType w:val="hybridMultilevel"/>
    <w:tmpl w:val="E272AB0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CF74E53"/>
    <w:multiLevelType w:val="multilevel"/>
    <w:tmpl w:val="1C58BEA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2EFC29B7"/>
    <w:multiLevelType w:val="multilevel"/>
    <w:tmpl w:val="2E0A996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40A2520"/>
    <w:multiLevelType w:val="multilevel"/>
    <w:tmpl w:val="0E10DE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3AFB6523"/>
    <w:multiLevelType w:val="hybridMultilevel"/>
    <w:tmpl w:val="750E32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0D1466A"/>
    <w:multiLevelType w:val="multilevel"/>
    <w:tmpl w:val="31EEFB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2487B9A"/>
    <w:multiLevelType w:val="multilevel"/>
    <w:tmpl w:val="2CBCB03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7" w15:restartNumberingAfterBreak="0">
    <w:nsid w:val="45743204"/>
    <w:multiLevelType w:val="multilevel"/>
    <w:tmpl w:val="08C6D7D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45760F01"/>
    <w:multiLevelType w:val="multilevel"/>
    <w:tmpl w:val="08C6D7D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49BB4397"/>
    <w:multiLevelType w:val="multilevel"/>
    <w:tmpl w:val="64DCA87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4D904C7A"/>
    <w:multiLevelType w:val="multilevel"/>
    <w:tmpl w:val="5D84F93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F831600"/>
    <w:multiLevelType w:val="multilevel"/>
    <w:tmpl w:val="756878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0D12BA3"/>
    <w:multiLevelType w:val="multilevel"/>
    <w:tmpl w:val="6AB894F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3" w15:restartNumberingAfterBreak="0">
    <w:nsid w:val="57871ED9"/>
    <w:multiLevelType w:val="multilevel"/>
    <w:tmpl w:val="2D3EEE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5B244867"/>
    <w:multiLevelType w:val="multilevel"/>
    <w:tmpl w:val="08C6D7D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60B36E5A"/>
    <w:multiLevelType w:val="multilevel"/>
    <w:tmpl w:val="873446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3B60858"/>
    <w:multiLevelType w:val="hybridMultilevel"/>
    <w:tmpl w:val="B8588F8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51A6DA3"/>
    <w:multiLevelType w:val="multilevel"/>
    <w:tmpl w:val="BC58179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666C1C8A"/>
    <w:multiLevelType w:val="multilevel"/>
    <w:tmpl w:val="246E087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82A6EBF"/>
    <w:multiLevelType w:val="multilevel"/>
    <w:tmpl w:val="D85263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15:restartNumberingAfterBreak="0">
    <w:nsid w:val="686B0C3C"/>
    <w:multiLevelType w:val="hybridMultilevel"/>
    <w:tmpl w:val="44ACFE2C"/>
    <w:lvl w:ilvl="0" w:tplc="A9105FE4">
      <w:start w:val="1"/>
      <w:numFmt w:val="upperLetter"/>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D2C7410"/>
    <w:multiLevelType w:val="hybridMultilevel"/>
    <w:tmpl w:val="1660BCB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D3A13E6"/>
    <w:multiLevelType w:val="multilevel"/>
    <w:tmpl w:val="3DE2949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49702F5"/>
    <w:multiLevelType w:val="multilevel"/>
    <w:tmpl w:val="08C6D7D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4" w15:restartNumberingAfterBreak="0">
    <w:nsid w:val="773448E4"/>
    <w:multiLevelType w:val="multilevel"/>
    <w:tmpl w:val="527AA3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5" w15:restartNumberingAfterBreak="0">
    <w:nsid w:val="7ACD5E23"/>
    <w:multiLevelType w:val="hybridMultilevel"/>
    <w:tmpl w:val="AF7CA29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B4904A9"/>
    <w:multiLevelType w:val="hybridMultilevel"/>
    <w:tmpl w:val="E272AB0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CFC1FE5"/>
    <w:multiLevelType w:val="multilevel"/>
    <w:tmpl w:val="79C625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8" w15:restartNumberingAfterBreak="0">
    <w:nsid w:val="7E2A6FCA"/>
    <w:multiLevelType w:val="multilevel"/>
    <w:tmpl w:val="E7BA88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51502565">
    <w:abstractNumId w:val="25"/>
  </w:num>
  <w:num w:numId="2" w16cid:durableId="1136993525">
    <w:abstractNumId w:val="32"/>
  </w:num>
  <w:num w:numId="3" w16cid:durableId="1434134986">
    <w:abstractNumId w:val="19"/>
  </w:num>
  <w:num w:numId="4" w16cid:durableId="478614810">
    <w:abstractNumId w:val="27"/>
  </w:num>
  <w:num w:numId="5" w16cid:durableId="851259267">
    <w:abstractNumId w:val="7"/>
  </w:num>
  <w:num w:numId="6" w16cid:durableId="879245451">
    <w:abstractNumId w:val="17"/>
  </w:num>
  <w:num w:numId="7" w16cid:durableId="446192974">
    <w:abstractNumId w:val="1"/>
  </w:num>
  <w:num w:numId="8" w16cid:durableId="571549277">
    <w:abstractNumId w:val="11"/>
  </w:num>
  <w:num w:numId="9" w16cid:durableId="1157502385">
    <w:abstractNumId w:val="21"/>
  </w:num>
  <w:num w:numId="10" w16cid:durableId="1293706554">
    <w:abstractNumId w:val="34"/>
  </w:num>
  <w:num w:numId="11" w16cid:durableId="1568956584">
    <w:abstractNumId w:val="38"/>
  </w:num>
  <w:num w:numId="12" w16cid:durableId="1300959379">
    <w:abstractNumId w:val="12"/>
  </w:num>
  <w:num w:numId="13" w16cid:durableId="1128428490">
    <w:abstractNumId w:val="28"/>
  </w:num>
  <w:num w:numId="14" w16cid:durableId="233974490">
    <w:abstractNumId w:val="23"/>
  </w:num>
  <w:num w:numId="15" w16cid:durableId="1121337164">
    <w:abstractNumId w:val="22"/>
  </w:num>
  <w:num w:numId="16" w16cid:durableId="1516841768">
    <w:abstractNumId w:val="16"/>
  </w:num>
  <w:num w:numId="17" w16cid:durableId="470632422">
    <w:abstractNumId w:val="6"/>
  </w:num>
  <w:num w:numId="18" w16cid:durableId="682433897">
    <w:abstractNumId w:val="29"/>
  </w:num>
  <w:num w:numId="19" w16cid:durableId="1860195159">
    <w:abstractNumId w:val="8"/>
  </w:num>
  <w:num w:numId="20" w16cid:durableId="1471435072">
    <w:abstractNumId w:val="15"/>
  </w:num>
  <w:num w:numId="21" w16cid:durableId="190648535">
    <w:abstractNumId w:val="20"/>
  </w:num>
  <w:num w:numId="22" w16cid:durableId="1731225701">
    <w:abstractNumId w:val="37"/>
  </w:num>
  <w:num w:numId="23" w16cid:durableId="605384322">
    <w:abstractNumId w:val="4"/>
  </w:num>
  <w:num w:numId="24" w16cid:durableId="20127326">
    <w:abstractNumId w:val="5"/>
  </w:num>
  <w:num w:numId="25" w16cid:durableId="355346792">
    <w:abstractNumId w:val="13"/>
  </w:num>
  <w:num w:numId="26" w16cid:durableId="647981782">
    <w:abstractNumId w:val="30"/>
  </w:num>
  <w:num w:numId="27" w16cid:durableId="546380708">
    <w:abstractNumId w:val="31"/>
  </w:num>
  <w:num w:numId="28" w16cid:durableId="1056856077">
    <w:abstractNumId w:val="14"/>
  </w:num>
  <w:num w:numId="29" w16cid:durableId="1247615190">
    <w:abstractNumId w:val="26"/>
  </w:num>
  <w:num w:numId="30" w16cid:durableId="236476851">
    <w:abstractNumId w:val="33"/>
  </w:num>
  <w:num w:numId="31" w16cid:durableId="1240366649">
    <w:abstractNumId w:val="18"/>
  </w:num>
  <w:num w:numId="32" w16cid:durableId="367410031">
    <w:abstractNumId w:val="35"/>
  </w:num>
  <w:num w:numId="33" w16cid:durableId="1566335034">
    <w:abstractNumId w:val="10"/>
  </w:num>
  <w:num w:numId="34" w16cid:durableId="1345589762">
    <w:abstractNumId w:val="24"/>
  </w:num>
  <w:num w:numId="35" w16cid:durableId="1052652466">
    <w:abstractNumId w:val="0"/>
  </w:num>
  <w:num w:numId="36" w16cid:durableId="1034118135">
    <w:abstractNumId w:val="9"/>
  </w:num>
  <w:num w:numId="37" w16cid:durableId="1936746970">
    <w:abstractNumId w:val="36"/>
  </w:num>
  <w:num w:numId="38" w16cid:durableId="364446281">
    <w:abstractNumId w:val="3"/>
  </w:num>
  <w:num w:numId="39" w16cid:durableId="2043051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177"/>
    <w:rsid w:val="00006534"/>
    <w:rsid w:val="00015CF2"/>
    <w:rsid w:val="00016E26"/>
    <w:rsid w:val="00020D9F"/>
    <w:rsid w:val="00073873"/>
    <w:rsid w:val="0008059B"/>
    <w:rsid w:val="000875A5"/>
    <w:rsid w:val="000B5DB7"/>
    <w:rsid w:val="000C0C06"/>
    <w:rsid w:val="000C6BB8"/>
    <w:rsid w:val="000D480A"/>
    <w:rsid w:val="000E212C"/>
    <w:rsid w:val="000F5428"/>
    <w:rsid w:val="0010198B"/>
    <w:rsid w:val="00113B9B"/>
    <w:rsid w:val="0011467F"/>
    <w:rsid w:val="00126B75"/>
    <w:rsid w:val="001347F6"/>
    <w:rsid w:val="00150089"/>
    <w:rsid w:val="00150704"/>
    <w:rsid w:val="00152651"/>
    <w:rsid w:val="00153A41"/>
    <w:rsid w:val="00157916"/>
    <w:rsid w:val="00157B25"/>
    <w:rsid w:val="00162C82"/>
    <w:rsid w:val="00176101"/>
    <w:rsid w:val="00191BE1"/>
    <w:rsid w:val="00195668"/>
    <w:rsid w:val="001A6E1C"/>
    <w:rsid w:val="001B529C"/>
    <w:rsid w:val="001C07E1"/>
    <w:rsid w:val="001D6590"/>
    <w:rsid w:val="001F6B71"/>
    <w:rsid w:val="002036C6"/>
    <w:rsid w:val="00204F74"/>
    <w:rsid w:val="0021061D"/>
    <w:rsid w:val="0021754D"/>
    <w:rsid w:val="002404F8"/>
    <w:rsid w:val="00253941"/>
    <w:rsid w:val="002702E1"/>
    <w:rsid w:val="00290DF4"/>
    <w:rsid w:val="002A43BA"/>
    <w:rsid w:val="002B21E6"/>
    <w:rsid w:val="002C1A08"/>
    <w:rsid w:val="002E6DDF"/>
    <w:rsid w:val="002F5A9D"/>
    <w:rsid w:val="0034125A"/>
    <w:rsid w:val="003460C6"/>
    <w:rsid w:val="003636F7"/>
    <w:rsid w:val="003703F0"/>
    <w:rsid w:val="0038530D"/>
    <w:rsid w:val="003879D5"/>
    <w:rsid w:val="003B591F"/>
    <w:rsid w:val="003B61B2"/>
    <w:rsid w:val="003C7FCF"/>
    <w:rsid w:val="003D3A1F"/>
    <w:rsid w:val="003E09D0"/>
    <w:rsid w:val="003E2773"/>
    <w:rsid w:val="0040500C"/>
    <w:rsid w:val="004172CA"/>
    <w:rsid w:val="00420BF9"/>
    <w:rsid w:val="00440BAD"/>
    <w:rsid w:val="004550E6"/>
    <w:rsid w:val="00470AD1"/>
    <w:rsid w:val="00475136"/>
    <w:rsid w:val="00475ED7"/>
    <w:rsid w:val="00492531"/>
    <w:rsid w:val="004C713D"/>
    <w:rsid w:val="004E3CC9"/>
    <w:rsid w:val="00515C91"/>
    <w:rsid w:val="00517D9E"/>
    <w:rsid w:val="005357B6"/>
    <w:rsid w:val="00545E44"/>
    <w:rsid w:val="0055175A"/>
    <w:rsid w:val="00561496"/>
    <w:rsid w:val="005D54B9"/>
    <w:rsid w:val="005D6E6A"/>
    <w:rsid w:val="005F24D5"/>
    <w:rsid w:val="00613377"/>
    <w:rsid w:val="00637E3F"/>
    <w:rsid w:val="00644FA2"/>
    <w:rsid w:val="00663605"/>
    <w:rsid w:val="006C27C1"/>
    <w:rsid w:val="006C5F55"/>
    <w:rsid w:val="007005BD"/>
    <w:rsid w:val="007233B4"/>
    <w:rsid w:val="00760D7D"/>
    <w:rsid w:val="00764F14"/>
    <w:rsid w:val="00771D75"/>
    <w:rsid w:val="00791635"/>
    <w:rsid w:val="007B4058"/>
    <w:rsid w:val="007B5123"/>
    <w:rsid w:val="007C1D83"/>
    <w:rsid w:val="007D1B71"/>
    <w:rsid w:val="007D5C08"/>
    <w:rsid w:val="007F4365"/>
    <w:rsid w:val="00811A68"/>
    <w:rsid w:val="0082465B"/>
    <w:rsid w:val="0083033F"/>
    <w:rsid w:val="00841C1A"/>
    <w:rsid w:val="00862979"/>
    <w:rsid w:val="00883AB5"/>
    <w:rsid w:val="00892401"/>
    <w:rsid w:val="00895175"/>
    <w:rsid w:val="008A3D5E"/>
    <w:rsid w:val="008B4C68"/>
    <w:rsid w:val="008C2177"/>
    <w:rsid w:val="008C4383"/>
    <w:rsid w:val="0090582E"/>
    <w:rsid w:val="00911125"/>
    <w:rsid w:val="00916901"/>
    <w:rsid w:val="00917DB7"/>
    <w:rsid w:val="009A694A"/>
    <w:rsid w:val="009D2BF1"/>
    <w:rsid w:val="00A25EB7"/>
    <w:rsid w:val="00A33BC4"/>
    <w:rsid w:val="00A749D7"/>
    <w:rsid w:val="00AA22D2"/>
    <w:rsid w:val="00AB58C8"/>
    <w:rsid w:val="00AC504C"/>
    <w:rsid w:val="00AD696D"/>
    <w:rsid w:val="00AE15AF"/>
    <w:rsid w:val="00AE7683"/>
    <w:rsid w:val="00B02647"/>
    <w:rsid w:val="00B05DB3"/>
    <w:rsid w:val="00B16E0A"/>
    <w:rsid w:val="00B23BD2"/>
    <w:rsid w:val="00B271FF"/>
    <w:rsid w:val="00B34854"/>
    <w:rsid w:val="00B673F0"/>
    <w:rsid w:val="00B7224F"/>
    <w:rsid w:val="00B748AF"/>
    <w:rsid w:val="00B875F6"/>
    <w:rsid w:val="00BA3DEA"/>
    <w:rsid w:val="00BC53E8"/>
    <w:rsid w:val="00BD5D23"/>
    <w:rsid w:val="00C150AB"/>
    <w:rsid w:val="00C222B5"/>
    <w:rsid w:val="00C23DAB"/>
    <w:rsid w:val="00C24BD4"/>
    <w:rsid w:val="00C250BE"/>
    <w:rsid w:val="00C663D8"/>
    <w:rsid w:val="00CA4409"/>
    <w:rsid w:val="00CA4C9B"/>
    <w:rsid w:val="00CA7366"/>
    <w:rsid w:val="00CC5754"/>
    <w:rsid w:val="00CD482E"/>
    <w:rsid w:val="00CE25EE"/>
    <w:rsid w:val="00D071E4"/>
    <w:rsid w:val="00D24E30"/>
    <w:rsid w:val="00D52CF9"/>
    <w:rsid w:val="00D74F41"/>
    <w:rsid w:val="00D75C64"/>
    <w:rsid w:val="00DA5516"/>
    <w:rsid w:val="00DA56FC"/>
    <w:rsid w:val="00DC64B4"/>
    <w:rsid w:val="00DF02A6"/>
    <w:rsid w:val="00DF2E38"/>
    <w:rsid w:val="00E31A12"/>
    <w:rsid w:val="00E6589F"/>
    <w:rsid w:val="00E7655E"/>
    <w:rsid w:val="00E83A3F"/>
    <w:rsid w:val="00E8428A"/>
    <w:rsid w:val="00E90649"/>
    <w:rsid w:val="00EB5F3E"/>
    <w:rsid w:val="00ED5692"/>
    <w:rsid w:val="00EF3280"/>
    <w:rsid w:val="00F505CC"/>
    <w:rsid w:val="00F53417"/>
    <w:rsid w:val="00F546BD"/>
    <w:rsid w:val="00F62BB5"/>
    <w:rsid w:val="00F666A4"/>
    <w:rsid w:val="00F66AB9"/>
    <w:rsid w:val="00F968B5"/>
    <w:rsid w:val="00F969B2"/>
    <w:rsid w:val="00FA3ED4"/>
    <w:rsid w:val="00FA6BF6"/>
    <w:rsid w:val="00FC5094"/>
    <w:rsid w:val="00FD073F"/>
    <w:rsid w:val="00FE0AD7"/>
    <w:rsid w:val="00FE6680"/>
    <w:rsid w:val="00FF1677"/>
    <w:rsid w:val="00FF21DA"/>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52170"/>
  <w15:docId w15:val="{AACE068B-BA22-49AE-AC8C-D4A95FB0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rsid w:val="00440BAD"/>
    <w:pPr>
      <w:ind w:left="100"/>
      <w:jc w:val="center"/>
      <w:outlineLvl w:val="0"/>
    </w:pPr>
    <w:rPr>
      <w:b/>
      <w:sz w:val="24"/>
      <w:szCs w:val="24"/>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unhideWhenUsed/>
    <w:qFormat/>
    <w:pPr>
      <w:keepNext/>
      <w:keepLines/>
      <w:spacing w:before="240" w:after="40"/>
      <w:outlineLvl w:val="3"/>
    </w:pPr>
    <w:rPr>
      <w:b/>
      <w:sz w:val="24"/>
      <w:szCs w:val="24"/>
    </w:rPr>
  </w:style>
  <w:style w:type="paragraph" w:styleId="Ttulo5">
    <w:name w:val="heading 5"/>
    <w:basedOn w:val="Normal"/>
    <w:next w:val="Normal"/>
    <w:uiPriority w:val="9"/>
    <w:unhideWhenUsed/>
    <w:qFormat/>
    <w:pPr>
      <w:keepNext/>
      <w:keepLines/>
      <w:spacing w:before="220" w:after="40"/>
      <w:outlineLvl w:val="4"/>
    </w:pPr>
    <w:rPr>
      <w:b/>
    </w:rPr>
  </w:style>
  <w:style w:type="paragraph" w:styleId="Ttulo6">
    <w:name w:val="heading 6"/>
    <w:basedOn w:val="Normal"/>
    <w:next w:val="Normal"/>
    <w:uiPriority w:val="9"/>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073873"/>
    <w:pPr>
      <w:tabs>
        <w:tab w:val="center" w:pos="4419"/>
        <w:tab w:val="right" w:pos="8838"/>
      </w:tabs>
    </w:pPr>
  </w:style>
  <w:style w:type="character" w:customStyle="1" w:styleId="EncabezadoCar">
    <w:name w:val="Encabezado Car"/>
    <w:basedOn w:val="Fuentedeprrafopredeter"/>
    <w:link w:val="Encabezado"/>
    <w:uiPriority w:val="99"/>
    <w:rsid w:val="00073873"/>
  </w:style>
  <w:style w:type="paragraph" w:styleId="Piedepgina">
    <w:name w:val="footer"/>
    <w:basedOn w:val="Normal"/>
    <w:link w:val="PiedepginaCar"/>
    <w:uiPriority w:val="99"/>
    <w:unhideWhenUsed/>
    <w:rsid w:val="00073873"/>
    <w:pPr>
      <w:tabs>
        <w:tab w:val="center" w:pos="4419"/>
        <w:tab w:val="right" w:pos="8838"/>
      </w:tabs>
    </w:pPr>
  </w:style>
  <w:style w:type="character" w:customStyle="1" w:styleId="PiedepginaCar">
    <w:name w:val="Pie de página Car"/>
    <w:basedOn w:val="Fuentedeprrafopredeter"/>
    <w:link w:val="Piedepgina"/>
    <w:uiPriority w:val="99"/>
    <w:rsid w:val="00073873"/>
  </w:style>
  <w:style w:type="paragraph" w:styleId="TtuloTDC">
    <w:name w:val="TOC Heading"/>
    <w:basedOn w:val="Ttulo1"/>
    <w:next w:val="Normal"/>
    <w:uiPriority w:val="39"/>
    <w:unhideWhenUsed/>
    <w:qFormat/>
    <w:rsid w:val="005357B6"/>
    <w:pPr>
      <w:keepNext/>
      <w:keepLines/>
      <w:widowControl/>
      <w:spacing w:before="240" w:line="259" w:lineRule="auto"/>
      <w:ind w:left="0"/>
      <w:jc w:val="left"/>
      <w:outlineLvl w:val="9"/>
    </w:pPr>
    <w:rPr>
      <w:rFonts w:asciiTheme="majorHAnsi" w:eastAsiaTheme="majorEastAsia" w:hAnsiTheme="majorHAnsi" w:cstheme="majorBidi"/>
      <w:b w:val="0"/>
      <w:color w:val="365F91" w:themeColor="accent1" w:themeShade="BF"/>
      <w:sz w:val="32"/>
      <w:szCs w:val="32"/>
      <w:lang w:val="es-CO"/>
    </w:rPr>
  </w:style>
  <w:style w:type="paragraph" w:styleId="TDC1">
    <w:name w:val="toc 1"/>
    <w:next w:val="Normal"/>
    <w:link w:val="TDC1Car"/>
    <w:autoRedefine/>
    <w:uiPriority w:val="39"/>
    <w:unhideWhenUsed/>
    <w:rsid w:val="00DA5516"/>
    <w:pPr>
      <w:tabs>
        <w:tab w:val="right" w:leader="dot" w:pos="9240"/>
      </w:tabs>
      <w:spacing w:after="100" w:line="360" w:lineRule="auto"/>
    </w:pPr>
    <w:rPr>
      <w:b/>
      <w:noProof/>
      <w:sz w:val="24"/>
      <w:szCs w:val="24"/>
    </w:rPr>
  </w:style>
  <w:style w:type="character" w:styleId="Hipervnculo">
    <w:name w:val="Hyperlink"/>
    <w:basedOn w:val="Fuentedeprrafopredeter"/>
    <w:uiPriority w:val="99"/>
    <w:unhideWhenUsed/>
    <w:rsid w:val="005357B6"/>
    <w:rPr>
      <w:color w:val="0000FF" w:themeColor="hyperlink"/>
      <w:u w:val="single"/>
    </w:rPr>
  </w:style>
  <w:style w:type="paragraph" w:styleId="TDC2">
    <w:name w:val="toc 2"/>
    <w:basedOn w:val="Normal"/>
    <w:next w:val="Normal"/>
    <w:autoRedefine/>
    <w:uiPriority w:val="39"/>
    <w:unhideWhenUsed/>
    <w:rsid w:val="00DA5516"/>
    <w:pPr>
      <w:spacing w:after="100" w:line="360" w:lineRule="auto"/>
      <w:ind w:left="220"/>
    </w:pPr>
    <w:rPr>
      <w:b/>
      <w:sz w:val="24"/>
    </w:rPr>
  </w:style>
  <w:style w:type="paragraph" w:styleId="TDC3">
    <w:name w:val="toc 3"/>
    <w:basedOn w:val="Normal"/>
    <w:next w:val="Normal"/>
    <w:autoRedefine/>
    <w:uiPriority w:val="39"/>
    <w:unhideWhenUsed/>
    <w:rsid w:val="00DA5516"/>
    <w:pPr>
      <w:spacing w:after="100" w:line="360" w:lineRule="auto"/>
      <w:ind w:left="440"/>
    </w:pPr>
    <w:rPr>
      <w:b/>
      <w:sz w:val="24"/>
    </w:rPr>
  </w:style>
  <w:style w:type="paragraph" w:styleId="TDC4">
    <w:name w:val="toc 4"/>
    <w:basedOn w:val="Normal"/>
    <w:next w:val="Normal"/>
    <w:autoRedefine/>
    <w:uiPriority w:val="39"/>
    <w:unhideWhenUsed/>
    <w:rsid w:val="00DA5516"/>
    <w:pPr>
      <w:spacing w:after="100" w:line="360" w:lineRule="auto"/>
      <w:ind w:left="660"/>
    </w:pPr>
    <w:rPr>
      <w:sz w:val="24"/>
    </w:rPr>
  </w:style>
  <w:style w:type="paragraph" w:styleId="TDC5">
    <w:name w:val="toc 5"/>
    <w:basedOn w:val="Normal"/>
    <w:next w:val="Normal"/>
    <w:autoRedefine/>
    <w:uiPriority w:val="39"/>
    <w:unhideWhenUsed/>
    <w:rsid w:val="007D5C08"/>
    <w:pPr>
      <w:tabs>
        <w:tab w:val="left" w:pos="1320"/>
        <w:tab w:val="right" w:leader="dot" w:pos="9240"/>
      </w:tabs>
      <w:spacing w:after="100" w:line="360" w:lineRule="auto"/>
      <w:ind w:left="880"/>
    </w:pPr>
    <w:rPr>
      <w:i/>
      <w:sz w:val="24"/>
    </w:rPr>
  </w:style>
  <w:style w:type="paragraph" w:styleId="Prrafodelista">
    <w:name w:val="List Paragraph"/>
    <w:basedOn w:val="Normal"/>
    <w:uiPriority w:val="34"/>
    <w:qFormat/>
    <w:rsid w:val="00420BF9"/>
    <w:pPr>
      <w:ind w:left="720"/>
      <w:contextualSpacing/>
    </w:pPr>
  </w:style>
  <w:style w:type="paragraph" w:styleId="TDC6">
    <w:name w:val="toc 6"/>
    <w:basedOn w:val="Normal"/>
    <w:next w:val="Normal"/>
    <w:autoRedefine/>
    <w:uiPriority w:val="39"/>
    <w:unhideWhenUsed/>
    <w:rsid w:val="00DA5516"/>
    <w:pPr>
      <w:spacing w:after="100" w:line="360" w:lineRule="auto"/>
      <w:ind w:left="1100"/>
    </w:pPr>
    <w:rPr>
      <w:b/>
      <w:sz w:val="24"/>
    </w:rPr>
  </w:style>
  <w:style w:type="character" w:customStyle="1" w:styleId="TDC1Car">
    <w:name w:val="TDC 1 Car"/>
    <w:basedOn w:val="Fuentedeprrafopredeter"/>
    <w:link w:val="TDC1"/>
    <w:uiPriority w:val="39"/>
    <w:rsid w:val="00DA5516"/>
    <w:rPr>
      <w:b/>
      <w:noProof/>
      <w:sz w:val="24"/>
      <w:szCs w:val="24"/>
    </w:rPr>
  </w:style>
  <w:style w:type="paragraph" w:styleId="Encabezadodelista">
    <w:name w:val="toa heading"/>
    <w:basedOn w:val="Normal"/>
    <w:next w:val="Normal"/>
    <w:uiPriority w:val="99"/>
    <w:unhideWhenUsed/>
    <w:rsid w:val="003E09D0"/>
    <w:pPr>
      <w:spacing w:before="120" w:line="360" w:lineRule="auto"/>
    </w:pPr>
    <w:rPr>
      <w:rFonts w:eastAsiaTheme="majorEastAsia" w:cstheme="majorBidi"/>
      <w:b/>
      <w:bCs/>
      <w:sz w:val="24"/>
      <w:szCs w:val="24"/>
    </w:rPr>
  </w:style>
  <w:style w:type="paragraph" w:styleId="Textoconsangra">
    <w:name w:val="table of authorities"/>
    <w:basedOn w:val="Normal"/>
    <w:next w:val="Normal"/>
    <w:uiPriority w:val="99"/>
    <w:semiHidden/>
    <w:unhideWhenUsed/>
    <w:rsid w:val="003E09D0"/>
    <w:pPr>
      <w:spacing w:line="360" w:lineRule="auto"/>
      <w:ind w:left="220" w:hanging="220"/>
    </w:pPr>
    <w:rPr>
      <w:sz w:val="24"/>
    </w:rPr>
  </w:style>
  <w:style w:type="paragraph" w:styleId="TDC7">
    <w:name w:val="toc 7"/>
    <w:basedOn w:val="Normal"/>
    <w:next w:val="Normal"/>
    <w:autoRedefine/>
    <w:uiPriority w:val="39"/>
    <w:semiHidden/>
    <w:unhideWhenUsed/>
    <w:rsid w:val="00DA5516"/>
    <w:pPr>
      <w:spacing w:after="100"/>
      <w:ind w:left="1320"/>
    </w:pPr>
  </w:style>
  <w:style w:type="paragraph" w:styleId="Revisin">
    <w:name w:val="Revision"/>
    <w:hidden/>
    <w:uiPriority w:val="99"/>
    <w:semiHidden/>
    <w:rsid w:val="00EF3280"/>
    <w:pPr>
      <w:widowControl/>
    </w:pPr>
  </w:style>
  <w:style w:type="character" w:styleId="Refdecomentario">
    <w:name w:val="annotation reference"/>
    <w:basedOn w:val="Fuentedeprrafopredeter"/>
    <w:uiPriority w:val="99"/>
    <w:semiHidden/>
    <w:unhideWhenUsed/>
    <w:rsid w:val="00B673F0"/>
    <w:rPr>
      <w:sz w:val="16"/>
      <w:szCs w:val="16"/>
    </w:rPr>
  </w:style>
  <w:style w:type="paragraph" w:styleId="Textocomentario">
    <w:name w:val="annotation text"/>
    <w:basedOn w:val="Normal"/>
    <w:link w:val="TextocomentarioCar"/>
    <w:uiPriority w:val="99"/>
    <w:unhideWhenUsed/>
    <w:rsid w:val="00B673F0"/>
    <w:rPr>
      <w:sz w:val="20"/>
      <w:szCs w:val="20"/>
    </w:rPr>
  </w:style>
  <w:style w:type="character" w:customStyle="1" w:styleId="TextocomentarioCar">
    <w:name w:val="Texto comentario Car"/>
    <w:basedOn w:val="Fuentedeprrafopredeter"/>
    <w:link w:val="Textocomentario"/>
    <w:uiPriority w:val="99"/>
    <w:rsid w:val="00B673F0"/>
    <w:rPr>
      <w:sz w:val="20"/>
      <w:szCs w:val="20"/>
    </w:rPr>
  </w:style>
  <w:style w:type="paragraph" w:styleId="Asuntodelcomentario">
    <w:name w:val="annotation subject"/>
    <w:basedOn w:val="Textocomentario"/>
    <w:next w:val="Textocomentario"/>
    <w:link w:val="AsuntodelcomentarioCar"/>
    <w:uiPriority w:val="99"/>
    <w:semiHidden/>
    <w:unhideWhenUsed/>
    <w:rsid w:val="00B673F0"/>
    <w:rPr>
      <w:b/>
      <w:bCs/>
    </w:rPr>
  </w:style>
  <w:style w:type="character" w:customStyle="1" w:styleId="AsuntodelcomentarioCar">
    <w:name w:val="Asunto del comentario Car"/>
    <w:basedOn w:val="TextocomentarioCar"/>
    <w:link w:val="Asuntodelcomentario"/>
    <w:uiPriority w:val="99"/>
    <w:semiHidden/>
    <w:rsid w:val="00B673F0"/>
    <w:rPr>
      <w:b/>
      <w:bCs/>
      <w:sz w:val="20"/>
      <w:szCs w:val="20"/>
    </w:rPr>
  </w:style>
  <w:style w:type="paragraph" w:styleId="Textonotapie">
    <w:name w:val="footnote text"/>
    <w:basedOn w:val="Normal"/>
    <w:link w:val="TextonotapieCar"/>
    <w:uiPriority w:val="99"/>
    <w:semiHidden/>
    <w:unhideWhenUsed/>
    <w:rsid w:val="00CE25EE"/>
    <w:rPr>
      <w:sz w:val="20"/>
      <w:szCs w:val="20"/>
    </w:rPr>
  </w:style>
  <w:style w:type="character" w:customStyle="1" w:styleId="TextonotapieCar">
    <w:name w:val="Texto nota pie Car"/>
    <w:basedOn w:val="Fuentedeprrafopredeter"/>
    <w:link w:val="Textonotapie"/>
    <w:uiPriority w:val="99"/>
    <w:semiHidden/>
    <w:rsid w:val="00CE25EE"/>
    <w:rPr>
      <w:sz w:val="20"/>
      <w:szCs w:val="20"/>
    </w:rPr>
  </w:style>
  <w:style w:type="character" w:styleId="Refdenotaalpie">
    <w:name w:val="footnote reference"/>
    <w:basedOn w:val="Fuentedeprrafopredeter"/>
    <w:uiPriority w:val="99"/>
    <w:semiHidden/>
    <w:unhideWhenUsed/>
    <w:rsid w:val="00CE25EE"/>
    <w:rPr>
      <w:vertAlign w:val="superscript"/>
    </w:rPr>
  </w:style>
  <w:style w:type="paragraph" w:styleId="NormalWeb">
    <w:name w:val="Normal (Web)"/>
    <w:basedOn w:val="Normal"/>
    <w:uiPriority w:val="99"/>
    <w:semiHidden/>
    <w:unhideWhenUsed/>
    <w:rsid w:val="00C250BE"/>
    <w:pPr>
      <w:widowControl/>
      <w:spacing w:before="100" w:beforeAutospacing="1" w:after="100" w:afterAutospacing="1"/>
    </w:pPr>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741260">
      <w:bodyDiv w:val="1"/>
      <w:marLeft w:val="0"/>
      <w:marRight w:val="0"/>
      <w:marTop w:val="0"/>
      <w:marBottom w:val="0"/>
      <w:divBdr>
        <w:top w:val="none" w:sz="0" w:space="0" w:color="auto"/>
        <w:left w:val="none" w:sz="0" w:space="0" w:color="auto"/>
        <w:bottom w:val="none" w:sz="0" w:space="0" w:color="auto"/>
        <w:right w:val="none" w:sz="0" w:space="0" w:color="auto"/>
      </w:divBdr>
    </w:div>
    <w:div w:id="913396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PHnphDvH6LLb00rdjEqrPcHqxA==">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</go:docsCustomData>
</go:gDocsCustomXmlDataStorage>
</file>

<file path=customXml/itemProps1.xml><?xml version="1.0" encoding="utf-8"?>
<ds:datastoreItem xmlns:ds="http://schemas.openxmlformats.org/officeDocument/2006/customXml" ds:itemID="{F7FDE258-D49E-4947-9A82-3A0B9B51CD2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62</Pages>
  <Words>12573</Words>
  <Characters>69155</Characters>
  <Application>Microsoft Office Word</Application>
  <DocSecurity>0</DocSecurity>
  <Lines>576</Lines>
  <Paragraphs>163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Juliana Murillo</cp:lastModifiedBy>
  <cp:revision>8</cp:revision>
  <cp:lastPrinted>2024-01-12T19:16:00Z</cp:lastPrinted>
  <dcterms:created xsi:type="dcterms:W3CDTF">2024-01-12T19:14:00Z</dcterms:created>
  <dcterms:modified xsi:type="dcterms:W3CDTF">2024-01-12T19:50:00Z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2024-01-05T00:00:00Z</vt:lpwstr>
  </property>
  <property fmtid="{D5CDD505-2E9C-101B-9397-08002B2CF9AE}" pid="3" name="Created">
    <vt:lpwstr>2024-01-04T00:00:00Z</vt:lpwstr>
  </property>
</Properties>
</file>